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DF" w:rsidRPr="00EF390B" w:rsidRDefault="005077DF" w:rsidP="005077DF">
      <w:pPr>
        <w:spacing w:after="0" w:line="240" w:lineRule="auto"/>
        <w:jc w:val="both"/>
        <w:rPr>
          <w:rFonts w:ascii="Arial" w:hAnsi="Arial" w:cs="Arial"/>
          <w:b/>
          <w:sz w:val="24"/>
          <w:szCs w:val="24"/>
        </w:rPr>
      </w:pPr>
      <w:r w:rsidRPr="00EF390B">
        <w:rPr>
          <w:rFonts w:ascii="Arial" w:hAnsi="Arial" w:cs="Arial"/>
          <w:b/>
          <w:sz w:val="24"/>
          <w:szCs w:val="24"/>
        </w:rPr>
        <w:t xml:space="preserve">COMPARACIÓN DE RESULTADOS DE AUTOEVALUACIONES DE LA </w:t>
      </w:r>
      <w:r w:rsidR="00F6700F">
        <w:rPr>
          <w:rFonts w:ascii="Arial" w:hAnsi="Arial" w:cs="Arial"/>
          <w:b/>
          <w:sz w:val="24"/>
          <w:szCs w:val="24"/>
        </w:rPr>
        <w:t>C</w:t>
      </w:r>
      <w:r w:rsidRPr="00EF390B">
        <w:rPr>
          <w:rFonts w:ascii="Arial" w:hAnsi="Arial" w:cs="Arial"/>
          <w:b/>
          <w:sz w:val="24"/>
          <w:szCs w:val="24"/>
        </w:rPr>
        <w:t>ARRERA DE ESTOMATOLOLOGÍA EN LA VARIABLE PROFESORES</w:t>
      </w:r>
    </w:p>
    <w:p w:rsidR="005077DF" w:rsidRDefault="005077DF" w:rsidP="005077DF">
      <w:pPr>
        <w:spacing w:after="0" w:line="240" w:lineRule="auto"/>
        <w:jc w:val="center"/>
        <w:rPr>
          <w:rFonts w:ascii="Arial" w:hAnsi="Arial" w:cs="Arial"/>
          <w:b/>
          <w:sz w:val="24"/>
          <w:szCs w:val="24"/>
        </w:rPr>
      </w:pPr>
    </w:p>
    <w:p w:rsidR="005077DF" w:rsidRPr="00B00A22" w:rsidRDefault="005077DF" w:rsidP="00E03721">
      <w:pPr>
        <w:spacing w:after="0" w:line="240" w:lineRule="auto"/>
        <w:jc w:val="both"/>
        <w:rPr>
          <w:rFonts w:ascii="Arial" w:eastAsia="Times New Roman" w:hAnsi="Arial" w:cs="Arial"/>
          <w:sz w:val="24"/>
          <w:szCs w:val="24"/>
          <w:lang w:val="en-US" w:eastAsia="es-ES"/>
        </w:rPr>
      </w:pPr>
      <w:r w:rsidRPr="003A24FA">
        <w:rPr>
          <w:rFonts w:ascii="Arial" w:hAnsi="Arial" w:cs="Arial"/>
          <w:b/>
          <w:sz w:val="24"/>
          <w:szCs w:val="24"/>
          <w:lang w:val="en-US"/>
        </w:rPr>
        <w:t xml:space="preserve">COMPARISON OF RESULTS </w:t>
      </w:r>
      <w:r>
        <w:rPr>
          <w:rFonts w:ascii="Arial" w:hAnsi="Arial" w:cs="Arial"/>
          <w:b/>
          <w:sz w:val="24"/>
          <w:szCs w:val="24"/>
          <w:lang w:val="en-US"/>
        </w:rPr>
        <w:t>OF SELF-EVALUATION</w:t>
      </w:r>
      <w:r w:rsidRPr="003A24FA">
        <w:rPr>
          <w:rFonts w:ascii="Arial" w:hAnsi="Arial" w:cs="Arial"/>
          <w:b/>
          <w:sz w:val="24"/>
          <w:szCs w:val="24"/>
          <w:lang w:val="en-US"/>
        </w:rPr>
        <w:t xml:space="preserve"> OF THE </w:t>
      </w:r>
      <w:r>
        <w:rPr>
          <w:rFonts w:ascii="Arial" w:hAnsi="Arial" w:cs="Arial"/>
          <w:b/>
          <w:sz w:val="24"/>
          <w:szCs w:val="24"/>
          <w:lang w:val="en-US"/>
        </w:rPr>
        <w:t>DENTAL STUDIES</w:t>
      </w:r>
      <w:r w:rsidRPr="003A24FA">
        <w:rPr>
          <w:rFonts w:ascii="Arial" w:hAnsi="Arial" w:cs="Arial"/>
          <w:b/>
          <w:sz w:val="24"/>
          <w:szCs w:val="24"/>
          <w:lang w:val="en-US"/>
        </w:rPr>
        <w:t xml:space="preserve"> IN THE VARIABLE </w:t>
      </w:r>
      <w:r w:rsidR="001058A1" w:rsidRPr="001058A1">
        <w:rPr>
          <w:rFonts w:ascii="Arial" w:eastAsia="Times New Roman" w:hAnsi="Arial" w:cs="Arial"/>
          <w:b/>
          <w:sz w:val="24"/>
          <w:szCs w:val="24"/>
          <w:lang w:val="en-US" w:eastAsia="es-ES"/>
        </w:rPr>
        <w:t>TEACHERS</w:t>
      </w:r>
    </w:p>
    <w:p w:rsidR="00B04C1C" w:rsidRDefault="00B04C1C" w:rsidP="00E03721">
      <w:pPr>
        <w:spacing w:after="0" w:line="240" w:lineRule="auto"/>
        <w:jc w:val="both"/>
        <w:rPr>
          <w:rFonts w:ascii="Arial" w:eastAsia="Times New Roman" w:hAnsi="Arial" w:cs="Arial"/>
          <w:sz w:val="24"/>
          <w:szCs w:val="24"/>
          <w:lang w:eastAsia="es-ES"/>
        </w:rPr>
      </w:pPr>
    </w:p>
    <w:p w:rsidR="00453B29" w:rsidRPr="00EF390B" w:rsidRDefault="00E03721" w:rsidP="00E03721">
      <w:pPr>
        <w:spacing w:after="0" w:line="240" w:lineRule="auto"/>
        <w:jc w:val="both"/>
        <w:rPr>
          <w:rFonts w:ascii="Arial" w:eastAsia="Arial" w:hAnsi="Arial" w:cs="Arial"/>
          <w:sz w:val="24"/>
          <w:szCs w:val="24"/>
          <w:vertAlign w:val="superscript"/>
        </w:rPr>
      </w:pPr>
      <w:r w:rsidRPr="00EF390B">
        <w:rPr>
          <w:rFonts w:ascii="Arial" w:eastAsia="Times New Roman" w:hAnsi="Arial" w:cs="Arial"/>
          <w:sz w:val="24"/>
          <w:szCs w:val="24"/>
          <w:lang w:eastAsia="es-ES"/>
        </w:rPr>
        <w:t xml:space="preserve">Ileana Bárbara </w:t>
      </w:r>
      <w:r w:rsidR="00E861BE" w:rsidRPr="00EF390B">
        <w:rPr>
          <w:rFonts w:ascii="Arial" w:eastAsia="Times New Roman" w:hAnsi="Arial" w:cs="Arial"/>
          <w:sz w:val="24"/>
          <w:szCs w:val="24"/>
          <w:lang w:eastAsia="es-ES"/>
        </w:rPr>
        <w:t>Grau León</w:t>
      </w:r>
      <w:r w:rsidRPr="00EF390B">
        <w:rPr>
          <w:rFonts w:ascii="Arial" w:eastAsia="Times New Roman" w:hAnsi="Arial" w:cs="Arial"/>
          <w:sz w:val="24"/>
          <w:szCs w:val="24"/>
          <w:lang w:eastAsia="es-ES"/>
        </w:rPr>
        <w:t xml:space="preserve">, </w:t>
      </w:r>
      <w:hyperlink r:id="rId8" w:history="1">
        <w:r w:rsidRPr="00EF390B">
          <w:rPr>
            <w:rStyle w:val="Hipervnculo"/>
            <w:rFonts w:ascii="Arial" w:eastAsia="Times New Roman" w:hAnsi="Arial" w:cs="Arial"/>
            <w:sz w:val="24"/>
            <w:szCs w:val="24"/>
            <w:lang w:eastAsia="es-ES"/>
          </w:rPr>
          <w:t>iluchy@infomed.sld.cu</w:t>
        </w:r>
      </w:hyperlink>
      <w:r w:rsidRPr="00EF390B">
        <w:rPr>
          <w:rFonts w:ascii="Arial" w:eastAsia="Times New Roman" w:hAnsi="Arial" w:cs="Arial"/>
          <w:sz w:val="24"/>
          <w:szCs w:val="24"/>
          <w:lang w:eastAsia="es-ES"/>
        </w:rPr>
        <w:t xml:space="preserve">, Facultad de Estomatología, Cuba, decana, Doctora en Ciencias, María de la Caridad </w:t>
      </w:r>
      <w:r w:rsidR="00453B29" w:rsidRPr="00EF390B">
        <w:rPr>
          <w:rFonts w:ascii="Arial" w:eastAsia="Times New Roman" w:hAnsi="Arial" w:cs="Arial"/>
          <w:sz w:val="24"/>
          <w:szCs w:val="24"/>
          <w:lang w:eastAsia="es-ES"/>
        </w:rPr>
        <w:t>Barciela González Longoria</w:t>
      </w:r>
      <w:r w:rsidRPr="00EF390B">
        <w:rPr>
          <w:rFonts w:ascii="Arial" w:eastAsia="Times New Roman" w:hAnsi="Arial" w:cs="Arial"/>
          <w:sz w:val="24"/>
          <w:szCs w:val="24"/>
          <w:lang w:eastAsia="es-ES"/>
        </w:rPr>
        <w:t xml:space="preserve">, </w:t>
      </w:r>
      <w:hyperlink r:id="rId9" w:history="1">
        <w:r w:rsidRPr="00EF390B">
          <w:rPr>
            <w:rStyle w:val="Hipervnculo"/>
            <w:rFonts w:ascii="Arial" w:eastAsia="Times New Roman" w:hAnsi="Arial" w:cs="Arial"/>
            <w:sz w:val="24"/>
            <w:szCs w:val="24"/>
            <w:lang w:eastAsia="es-ES"/>
          </w:rPr>
          <w:t>maria.barciela@infomed.sld.cu</w:t>
        </w:r>
      </w:hyperlink>
      <w:r w:rsidRPr="00EF390B">
        <w:rPr>
          <w:rStyle w:val="Hipervnculo"/>
          <w:rFonts w:ascii="Arial" w:eastAsia="Times New Roman" w:hAnsi="Arial" w:cs="Arial"/>
          <w:sz w:val="24"/>
          <w:szCs w:val="24"/>
          <w:lang w:eastAsia="es-ES"/>
        </w:rPr>
        <w:t xml:space="preserve">, </w:t>
      </w:r>
      <w:r w:rsidRPr="00EF390B">
        <w:rPr>
          <w:rFonts w:ascii="Arial" w:eastAsia="Times New Roman" w:hAnsi="Arial" w:cs="Arial"/>
          <w:sz w:val="24"/>
          <w:szCs w:val="24"/>
          <w:lang w:eastAsia="es-ES"/>
        </w:rPr>
        <w:t>Facultad de Estomatología, Cuba, Master en Ciencias,</w:t>
      </w:r>
      <w:r w:rsidRPr="00EF390B">
        <w:rPr>
          <w:rFonts w:ascii="Arial" w:eastAsia="Arial" w:hAnsi="Arial" w:cs="Arial"/>
          <w:sz w:val="24"/>
          <w:szCs w:val="24"/>
        </w:rPr>
        <w:t>Solangel</w:t>
      </w:r>
      <w:r w:rsidR="00453B29" w:rsidRPr="00EF390B">
        <w:rPr>
          <w:rFonts w:ascii="Arial" w:eastAsia="Arial" w:hAnsi="Arial" w:cs="Arial"/>
          <w:sz w:val="24"/>
          <w:szCs w:val="24"/>
        </w:rPr>
        <w:t>Rosales Reyes,</w:t>
      </w:r>
      <w:r w:rsidRPr="00EF390B">
        <w:rPr>
          <w:rFonts w:ascii="Arial" w:eastAsia="Times New Roman" w:hAnsi="Arial" w:cs="Arial"/>
          <w:sz w:val="24"/>
          <w:szCs w:val="24"/>
          <w:lang w:eastAsia="es-ES"/>
        </w:rPr>
        <w:t xml:space="preserve">Facultad de Estomatología, Cuba, Master en Ciencias, </w:t>
      </w:r>
      <w:hyperlink r:id="rId10">
        <w:r w:rsidRPr="00EF390B">
          <w:rPr>
            <w:rFonts w:ascii="Arial" w:eastAsia="Arial" w:hAnsi="Arial" w:cs="Arial"/>
            <w:color w:val="2E74B5" w:themeColor="accent5" w:themeShade="BF"/>
            <w:sz w:val="24"/>
            <w:szCs w:val="24"/>
            <w:u w:val="single"/>
          </w:rPr>
          <w:t>solangel.rosales@infomed.sld.cu</w:t>
        </w:r>
      </w:hyperlink>
      <w:r w:rsidRPr="00EF390B">
        <w:rPr>
          <w:rFonts w:ascii="Arial" w:eastAsia="Arial" w:hAnsi="Arial" w:cs="Arial"/>
          <w:color w:val="2E74B5" w:themeColor="accent5" w:themeShade="BF"/>
          <w:sz w:val="24"/>
          <w:szCs w:val="24"/>
          <w:u w:val="single"/>
        </w:rPr>
        <w:t>,</w:t>
      </w:r>
      <w:r w:rsidRPr="00EF390B">
        <w:rPr>
          <w:rFonts w:ascii="Arial" w:eastAsia="Arial" w:hAnsi="Arial" w:cs="Arial"/>
          <w:sz w:val="24"/>
          <w:szCs w:val="24"/>
        </w:rPr>
        <w:t xml:space="preserve">Miralis </w:t>
      </w:r>
      <w:r w:rsidR="00453B29" w:rsidRPr="00EF390B">
        <w:rPr>
          <w:rFonts w:ascii="Arial" w:eastAsia="Arial" w:hAnsi="Arial" w:cs="Arial"/>
          <w:sz w:val="24"/>
          <w:szCs w:val="24"/>
        </w:rPr>
        <w:t>Fernández Pratt</w:t>
      </w:r>
      <w:r w:rsidR="00DC609C" w:rsidRPr="00EF390B">
        <w:rPr>
          <w:rFonts w:ascii="Arial" w:eastAsia="Arial" w:hAnsi="Arial" w:cs="Arial"/>
          <w:sz w:val="24"/>
          <w:szCs w:val="24"/>
        </w:rPr>
        <w:t>,</w:t>
      </w:r>
      <w:r w:rsidRPr="00EF390B">
        <w:rPr>
          <w:rFonts w:ascii="Arial" w:eastAsia="Times New Roman" w:hAnsi="Arial" w:cs="Arial"/>
          <w:sz w:val="24"/>
          <w:szCs w:val="24"/>
          <w:lang w:eastAsia="es-ES"/>
        </w:rPr>
        <w:t xml:space="preserve">Facultad de Estomatología, Cuba, </w:t>
      </w:r>
      <w:hyperlink r:id="rId11" w:history="1">
        <w:r w:rsidRPr="00EF390B">
          <w:rPr>
            <w:rStyle w:val="Hipervnculo"/>
            <w:rFonts w:ascii="Arial" w:eastAsia="Times New Roman" w:hAnsi="Arial" w:cs="Arial"/>
            <w:sz w:val="24"/>
            <w:szCs w:val="24"/>
            <w:lang w:eastAsia="es-ES"/>
          </w:rPr>
          <w:t>talimari@infomed.sld.cu</w:t>
        </w:r>
      </w:hyperlink>
      <w:r w:rsidRPr="00EF390B">
        <w:rPr>
          <w:rStyle w:val="Hipervnculo"/>
          <w:rFonts w:ascii="Arial" w:eastAsia="Times New Roman" w:hAnsi="Arial" w:cs="Arial"/>
          <w:sz w:val="24"/>
          <w:szCs w:val="24"/>
          <w:lang w:eastAsia="es-ES"/>
        </w:rPr>
        <w:t xml:space="preserve">, </w:t>
      </w:r>
      <w:r w:rsidRPr="00EF390B">
        <w:rPr>
          <w:rFonts w:ascii="Arial" w:eastAsia="Times New Roman" w:hAnsi="Arial" w:cs="Arial"/>
          <w:sz w:val="24"/>
          <w:szCs w:val="24"/>
          <w:lang w:eastAsia="es-ES"/>
        </w:rPr>
        <w:t xml:space="preserve">Master en Ciencias, </w:t>
      </w:r>
      <w:r w:rsidRPr="00EF390B">
        <w:rPr>
          <w:rFonts w:ascii="Arial" w:eastAsia="Arial" w:hAnsi="Arial" w:cs="Arial"/>
          <w:sz w:val="24"/>
          <w:szCs w:val="24"/>
        </w:rPr>
        <w:t>Alaen</w:t>
      </w:r>
      <w:r w:rsidR="00DC609C" w:rsidRPr="00EF390B">
        <w:rPr>
          <w:rFonts w:ascii="Arial" w:eastAsia="Arial" w:hAnsi="Arial" w:cs="Arial"/>
          <w:sz w:val="24"/>
          <w:szCs w:val="24"/>
        </w:rPr>
        <w:t>Sánchez Grau,</w:t>
      </w:r>
      <w:hyperlink r:id="rId12" w:history="1">
        <w:r w:rsidRPr="00EF390B">
          <w:rPr>
            <w:rStyle w:val="Hipervnculo"/>
            <w:rFonts w:ascii="Arial" w:eastAsia="Times New Roman" w:hAnsi="Arial" w:cs="Arial"/>
            <w:sz w:val="24"/>
            <w:szCs w:val="24"/>
            <w:lang w:eastAsia="es-ES"/>
          </w:rPr>
          <w:t>mirecc@infomed.sld.cu</w:t>
        </w:r>
      </w:hyperlink>
      <w:r w:rsidRPr="00EF390B">
        <w:rPr>
          <w:rStyle w:val="Hipervnculo"/>
          <w:rFonts w:ascii="Arial" w:eastAsia="Times New Roman" w:hAnsi="Arial" w:cs="Arial"/>
          <w:sz w:val="24"/>
          <w:szCs w:val="24"/>
          <w:lang w:eastAsia="es-ES"/>
        </w:rPr>
        <w:t xml:space="preserve">, </w:t>
      </w:r>
      <w:r w:rsidRPr="00EF390B">
        <w:rPr>
          <w:rFonts w:ascii="Arial" w:eastAsia="Times New Roman" w:hAnsi="Arial" w:cs="Arial"/>
          <w:sz w:val="24"/>
          <w:szCs w:val="24"/>
          <w:lang w:eastAsia="es-ES"/>
        </w:rPr>
        <w:t>UIM MINFAR /Centro de investigación, desarrollo y producción Grito de Baire, Cuba, Master en Ciencias.</w:t>
      </w:r>
      <w:r w:rsidR="008A65D6" w:rsidRPr="001058A1">
        <w:rPr>
          <w:rFonts w:ascii="Arial" w:eastAsia="Times New Roman" w:hAnsi="Arial" w:cs="Arial"/>
          <w:b/>
          <w:sz w:val="24"/>
          <w:szCs w:val="24"/>
          <w:lang w:eastAsia="es-ES"/>
        </w:rPr>
        <w:t>*</w:t>
      </w:r>
    </w:p>
    <w:p w:rsidR="00306637" w:rsidRPr="00EF390B" w:rsidRDefault="00E861BE" w:rsidP="00E03721">
      <w:pPr>
        <w:tabs>
          <w:tab w:val="left" w:pos="0"/>
        </w:tabs>
        <w:spacing w:after="0" w:line="240" w:lineRule="auto"/>
        <w:ind w:right="51"/>
        <w:jc w:val="both"/>
        <w:rPr>
          <w:rFonts w:ascii="Arial" w:eastAsia="Times New Roman" w:hAnsi="Arial" w:cs="Arial"/>
          <w:sz w:val="24"/>
          <w:szCs w:val="24"/>
          <w:lang w:eastAsia="es-ES"/>
        </w:rPr>
      </w:pPr>
      <w:r w:rsidRPr="00EF390B">
        <w:rPr>
          <w:rFonts w:ascii="Arial" w:eastAsia="Times New Roman" w:hAnsi="Arial" w:cs="Arial"/>
          <w:sz w:val="24"/>
          <w:szCs w:val="24"/>
          <w:lang w:eastAsia="es-ES"/>
        </w:rPr>
        <w:t xml:space="preserve">. </w:t>
      </w:r>
    </w:p>
    <w:p w:rsidR="00E8559B" w:rsidRPr="00EF390B" w:rsidRDefault="00E861BE" w:rsidP="00E8559B">
      <w:pPr>
        <w:spacing w:after="0" w:line="240" w:lineRule="auto"/>
        <w:rPr>
          <w:rFonts w:ascii="Arial" w:eastAsia="Times New Roman" w:hAnsi="Arial" w:cs="Arial"/>
          <w:sz w:val="24"/>
          <w:szCs w:val="24"/>
          <w:lang w:eastAsia="es-ES"/>
        </w:rPr>
      </w:pPr>
      <w:r w:rsidRPr="00EF390B">
        <w:rPr>
          <w:rFonts w:ascii="Arial" w:eastAsia="Times New Roman" w:hAnsi="Arial" w:cs="Arial"/>
          <w:i/>
          <w:iCs/>
          <w:sz w:val="24"/>
          <w:szCs w:val="24"/>
          <w:lang w:eastAsia="es-ES"/>
        </w:rPr>
        <w:t>Resumen:</w:t>
      </w:r>
    </w:p>
    <w:p w:rsidR="0064127E" w:rsidRPr="00EF390B" w:rsidRDefault="00E8559B" w:rsidP="00421E93">
      <w:pPr>
        <w:spacing w:after="0" w:line="240" w:lineRule="auto"/>
        <w:jc w:val="both"/>
        <w:rPr>
          <w:rFonts w:ascii="Arial" w:hAnsi="Arial" w:cs="Arial"/>
          <w:sz w:val="24"/>
          <w:szCs w:val="24"/>
        </w:rPr>
      </w:pPr>
      <w:r w:rsidRPr="00EF390B">
        <w:rPr>
          <w:rFonts w:ascii="Arial" w:eastAsia="Times New Roman" w:hAnsi="Arial" w:cs="Arial"/>
          <w:sz w:val="24"/>
          <w:szCs w:val="24"/>
          <w:lang w:eastAsia="es-ES"/>
        </w:rPr>
        <w:t xml:space="preserve">La variable profesores tiene un impacto en los resultados de la evaluación externa, siendo, en muchos casos la que decide el nivel de acreditación que se propone a la Junta de Acreditación Nacional (JAN). </w:t>
      </w:r>
      <w:r w:rsidR="00421E93">
        <w:rPr>
          <w:rFonts w:ascii="Arial" w:hAnsi="Arial" w:cs="Arial"/>
          <w:sz w:val="24"/>
          <w:szCs w:val="24"/>
        </w:rPr>
        <w:t xml:space="preserve">Se realiza un estudio </w:t>
      </w:r>
      <w:r w:rsidR="00421E93" w:rsidRPr="00EF390B">
        <w:rPr>
          <w:rFonts w:ascii="Arial" w:eastAsia="Times New Roman" w:hAnsi="Arial" w:cs="Arial"/>
          <w:sz w:val="24"/>
          <w:szCs w:val="24"/>
          <w:lang w:eastAsia="es-ES"/>
        </w:rPr>
        <w:t xml:space="preserve">en el campo de la educación médica para comparar </w:t>
      </w:r>
      <w:r w:rsidR="00421E93">
        <w:rPr>
          <w:rFonts w:ascii="Arial" w:hAnsi="Arial" w:cs="Arial"/>
          <w:sz w:val="24"/>
          <w:szCs w:val="24"/>
        </w:rPr>
        <w:t>l</w:t>
      </w:r>
      <w:r w:rsidR="00421E93" w:rsidRPr="00EF390B">
        <w:rPr>
          <w:rFonts w:ascii="Arial" w:hAnsi="Arial" w:cs="Arial"/>
          <w:sz w:val="24"/>
          <w:szCs w:val="24"/>
        </w:rPr>
        <w:t>os resultados del comportamiento de los indicadores más representativos de la variable profesores, correspondientes a las autoevaluaciones de 2013 y 2018 de la carr</w:t>
      </w:r>
      <w:r w:rsidR="00421E93">
        <w:rPr>
          <w:rFonts w:ascii="Arial" w:hAnsi="Arial" w:cs="Arial"/>
          <w:sz w:val="24"/>
          <w:szCs w:val="24"/>
        </w:rPr>
        <w:t xml:space="preserve">era de Estomatología de la UCMH </w:t>
      </w:r>
      <w:r w:rsidR="00421E93" w:rsidRPr="00EF390B">
        <w:rPr>
          <w:rFonts w:ascii="Arial" w:eastAsia="Times New Roman" w:hAnsi="Arial" w:cs="Arial"/>
          <w:sz w:val="24"/>
          <w:szCs w:val="24"/>
          <w:lang w:eastAsia="es-ES"/>
        </w:rPr>
        <w:t>utilizando los</w:t>
      </w:r>
      <w:r w:rsidR="00421E93" w:rsidRPr="00EF390B">
        <w:rPr>
          <w:rFonts w:ascii="Arial" w:hAnsi="Arial" w:cs="Arial"/>
          <w:sz w:val="24"/>
          <w:szCs w:val="24"/>
        </w:rPr>
        <w:t xml:space="preserve"> indicadores de la guía de evaluación de las carreras universitarias.</w:t>
      </w:r>
      <w:r w:rsidR="003B4B77" w:rsidRPr="00EF390B">
        <w:rPr>
          <w:rFonts w:ascii="Arial" w:hAnsi="Arial" w:cs="Arial"/>
          <w:sz w:val="24"/>
          <w:szCs w:val="24"/>
        </w:rPr>
        <w:t xml:space="preserve">Las edades que predominaron estuvieron en el grupo de 46 - 55 años en ambos años con 30, 7 % y 36,1%, </w:t>
      </w:r>
      <w:r w:rsidR="00DC609C" w:rsidRPr="00EF390B">
        <w:rPr>
          <w:rFonts w:ascii="Arial" w:hAnsi="Arial" w:cs="Arial"/>
          <w:sz w:val="24"/>
          <w:szCs w:val="24"/>
        </w:rPr>
        <w:t xml:space="preserve">predominó </w:t>
      </w:r>
      <w:r w:rsidR="003B4B77" w:rsidRPr="00EF390B">
        <w:rPr>
          <w:rFonts w:ascii="Arial" w:hAnsi="Arial" w:cs="Arial"/>
          <w:sz w:val="24"/>
          <w:szCs w:val="24"/>
        </w:rPr>
        <w:t xml:space="preserve">el sexo femenino en los claustros de ambos </w:t>
      </w:r>
      <w:r w:rsidR="00571408">
        <w:rPr>
          <w:rFonts w:ascii="Arial" w:hAnsi="Arial" w:cs="Arial"/>
          <w:sz w:val="24"/>
          <w:szCs w:val="24"/>
        </w:rPr>
        <w:t>periodos</w:t>
      </w:r>
      <w:r w:rsidR="003B4B77" w:rsidRPr="00EF390B">
        <w:rPr>
          <w:rFonts w:ascii="Arial" w:hAnsi="Arial" w:cs="Arial"/>
          <w:sz w:val="24"/>
          <w:szCs w:val="24"/>
        </w:rPr>
        <w:t xml:space="preserve"> con 72,56 y 84,84 %</w:t>
      </w:r>
      <w:r w:rsidR="0064127E" w:rsidRPr="00EF390B">
        <w:rPr>
          <w:rFonts w:ascii="Arial" w:hAnsi="Arial" w:cs="Arial"/>
          <w:sz w:val="24"/>
          <w:szCs w:val="24"/>
        </w:rPr>
        <w:t xml:space="preserve">, se incrementaron los doctores en ciencias y Master con 49, 53 y 86, 11 %. El índice de publicaciones en la </w:t>
      </w:r>
      <w:r w:rsidR="00DC609C" w:rsidRPr="00EF390B">
        <w:rPr>
          <w:rFonts w:ascii="Arial" w:hAnsi="Arial" w:cs="Arial"/>
          <w:sz w:val="24"/>
          <w:szCs w:val="24"/>
        </w:rPr>
        <w:t>W</w:t>
      </w:r>
      <w:r w:rsidR="0064127E" w:rsidRPr="00EF390B">
        <w:rPr>
          <w:rFonts w:ascii="Arial" w:hAnsi="Arial" w:cs="Arial"/>
          <w:sz w:val="24"/>
          <w:szCs w:val="24"/>
        </w:rPr>
        <w:t xml:space="preserve">eb of </w:t>
      </w:r>
      <w:r w:rsidR="001A73EE" w:rsidRPr="00EF390B">
        <w:rPr>
          <w:rFonts w:ascii="Arial" w:hAnsi="Arial" w:cs="Arial"/>
          <w:sz w:val="24"/>
          <w:szCs w:val="24"/>
        </w:rPr>
        <w:t>Science</w:t>
      </w:r>
      <w:r w:rsidR="0064127E" w:rsidRPr="00EF390B">
        <w:rPr>
          <w:rFonts w:ascii="Arial" w:hAnsi="Arial" w:cs="Arial"/>
          <w:sz w:val="24"/>
          <w:szCs w:val="24"/>
        </w:rPr>
        <w:t xml:space="preserve"> y BDI fue de 1,74</w:t>
      </w:r>
      <w:r w:rsidR="00DC609C" w:rsidRPr="00EF390B">
        <w:rPr>
          <w:rFonts w:ascii="Arial" w:hAnsi="Arial" w:cs="Arial"/>
          <w:sz w:val="24"/>
          <w:szCs w:val="24"/>
        </w:rPr>
        <w:t>.</w:t>
      </w:r>
      <w:r w:rsidR="00421E93">
        <w:rPr>
          <w:rFonts w:ascii="Arial" w:hAnsi="Arial" w:cs="Arial"/>
          <w:sz w:val="24"/>
          <w:szCs w:val="24"/>
        </w:rPr>
        <w:t xml:space="preserve"> Se concluye que l</w:t>
      </w:r>
      <w:r w:rsidR="0064127E" w:rsidRPr="00EF390B">
        <w:rPr>
          <w:rFonts w:ascii="Arial" w:hAnsi="Arial" w:cs="Arial"/>
          <w:sz w:val="24"/>
          <w:szCs w:val="24"/>
        </w:rPr>
        <w:t>a mayoría de los profesores del claustro ostentan las categorías docentes de titular y auxiliar en ambos a</w:t>
      </w:r>
      <w:r w:rsidR="006153B6" w:rsidRPr="00EF390B">
        <w:rPr>
          <w:rFonts w:ascii="Arial" w:hAnsi="Arial" w:cs="Arial"/>
          <w:sz w:val="24"/>
          <w:szCs w:val="24"/>
        </w:rPr>
        <w:t xml:space="preserve">ños, </w:t>
      </w:r>
      <w:r w:rsidR="00DC609C" w:rsidRPr="00EF390B">
        <w:rPr>
          <w:rFonts w:ascii="Arial" w:hAnsi="Arial" w:cs="Arial"/>
          <w:sz w:val="24"/>
          <w:szCs w:val="24"/>
        </w:rPr>
        <w:t xml:space="preserve">hubo un marcado </w:t>
      </w:r>
      <w:r w:rsidR="006153B6" w:rsidRPr="00EF390B">
        <w:rPr>
          <w:rFonts w:ascii="Arial" w:hAnsi="Arial" w:cs="Arial"/>
          <w:sz w:val="24"/>
          <w:szCs w:val="24"/>
        </w:rPr>
        <w:t>incremento de</w:t>
      </w:r>
      <w:r w:rsidR="0064127E" w:rsidRPr="00EF390B">
        <w:rPr>
          <w:rFonts w:ascii="Arial" w:hAnsi="Arial" w:cs="Arial"/>
          <w:sz w:val="24"/>
          <w:szCs w:val="24"/>
        </w:rPr>
        <w:t xml:space="preserve"> la presentación de ponencias en eventos por profesor.  </w:t>
      </w:r>
      <w:r w:rsidR="00DC609C" w:rsidRPr="00EF390B">
        <w:rPr>
          <w:rFonts w:ascii="Arial" w:hAnsi="Arial" w:cs="Arial"/>
          <w:sz w:val="24"/>
          <w:szCs w:val="24"/>
        </w:rPr>
        <w:t>Aumentó el promedio</w:t>
      </w:r>
      <w:r w:rsidR="0064127E" w:rsidRPr="00EF390B">
        <w:rPr>
          <w:rFonts w:ascii="Arial" w:hAnsi="Arial" w:cs="Arial"/>
          <w:sz w:val="24"/>
          <w:szCs w:val="24"/>
        </w:rPr>
        <w:t xml:space="preserve"> de publicaciones por profesor en la Web of Science y BDI. Las actividades de posgrado superaron ostensiblemente a las del periodo que culminó en el 2013.</w:t>
      </w:r>
    </w:p>
    <w:p w:rsidR="00E8559B" w:rsidRPr="00EF390B" w:rsidRDefault="00E8559B" w:rsidP="00E8559B">
      <w:pPr>
        <w:spacing w:after="0" w:line="240" w:lineRule="auto"/>
        <w:rPr>
          <w:rFonts w:ascii="Arial" w:eastAsia="Times New Roman" w:hAnsi="Arial" w:cs="Arial"/>
          <w:sz w:val="24"/>
          <w:szCs w:val="24"/>
          <w:lang w:eastAsia="es-ES"/>
        </w:rPr>
      </w:pPr>
    </w:p>
    <w:p w:rsidR="00E8559B" w:rsidRPr="00EF390B" w:rsidRDefault="00874841" w:rsidP="00E73680">
      <w:pPr>
        <w:spacing w:before="100" w:beforeAutospacing="1" w:after="100" w:afterAutospacing="1" w:line="240" w:lineRule="auto"/>
        <w:jc w:val="both"/>
        <w:rPr>
          <w:rFonts w:ascii="Arial" w:eastAsia="Times New Roman" w:hAnsi="Arial" w:cs="Arial"/>
          <w:sz w:val="24"/>
          <w:szCs w:val="24"/>
          <w:lang w:eastAsia="es-ES"/>
        </w:rPr>
      </w:pPr>
      <w:r w:rsidRPr="00EF390B">
        <w:rPr>
          <w:rFonts w:ascii="Arial" w:eastAsia="Times New Roman" w:hAnsi="Arial" w:cs="Arial"/>
          <w:sz w:val="24"/>
          <w:szCs w:val="24"/>
          <w:lang w:eastAsia="es-ES"/>
        </w:rPr>
        <w:t>Palabras claves</w:t>
      </w:r>
      <w:r w:rsidR="00291265" w:rsidRPr="00EF390B">
        <w:rPr>
          <w:rFonts w:ascii="Arial" w:eastAsia="Times New Roman" w:hAnsi="Arial" w:cs="Arial"/>
          <w:sz w:val="24"/>
          <w:szCs w:val="24"/>
          <w:lang w:eastAsia="es-ES"/>
        </w:rPr>
        <w:t>: variables de calidad, profesores, categoría docente, índice de publicaciones, eventos</w:t>
      </w:r>
    </w:p>
    <w:p w:rsidR="005077DF" w:rsidRPr="001058A1" w:rsidRDefault="00E861BE" w:rsidP="001058A1">
      <w:pPr>
        <w:spacing w:before="100" w:beforeAutospacing="1" w:after="100" w:afterAutospacing="1" w:line="240" w:lineRule="auto"/>
        <w:jc w:val="both"/>
        <w:rPr>
          <w:rFonts w:ascii="Arial" w:eastAsia="Times New Roman" w:hAnsi="Arial" w:cs="Arial"/>
          <w:sz w:val="24"/>
          <w:szCs w:val="24"/>
          <w:lang w:eastAsia="es-ES"/>
        </w:rPr>
      </w:pPr>
      <w:r w:rsidRPr="001058A1">
        <w:rPr>
          <w:rFonts w:ascii="Arial" w:eastAsia="Times New Roman" w:hAnsi="Arial" w:cs="Arial"/>
          <w:b/>
          <w:sz w:val="24"/>
          <w:szCs w:val="24"/>
          <w:lang w:eastAsia="es-ES"/>
        </w:rPr>
        <w:t> </w:t>
      </w:r>
      <w:r w:rsidR="008A65D6" w:rsidRPr="001058A1">
        <w:rPr>
          <w:rFonts w:ascii="Arial" w:eastAsia="Times New Roman" w:hAnsi="Arial" w:cs="Arial"/>
          <w:b/>
          <w:sz w:val="24"/>
          <w:szCs w:val="24"/>
          <w:lang w:eastAsia="es-ES"/>
        </w:rPr>
        <w:t>*</w:t>
      </w:r>
      <w:r w:rsidR="008A65D6">
        <w:rPr>
          <w:rFonts w:ascii="Arial" w:eastAsia="Times New Roman" w:hAnsi="Arial" w:cs="Arial"/>
          <w:sz w:val="24"/>
          <w:szCs w:val="24"/>
          <w:lang w:eastAsia="es-ES"/>
        </w:rPr>
        <w:t xml:space="preserve">Los autores trabajaron en el transcurso de cinco años en la gestión de la calidad de la carrera, conforman una de las comisiones de calidad de la Facultad de Estomatología, cada uno aportó de manera significativa al desarrollo de este </w:t>
      </w:r>
      <w:r w:rsidR="001058A1">
        <w:rPr>
          <w:rFonts w:ascii="Arial" w:eastAsia="Times New Roman" w:hAnsi="Arial" w:cs="Arial"/>
          <w:sz w:val="24"/>
          <w:szCs w:val="24"/>
          <w:lang w:eastAsia="es-ES"/>
        </w:rPr>
        <w:t>trabajo</w:t>
      </w:r>
    </w:p>
    <w:p w:rsidR="005077DF" w:rsidRPr="005077DF" w:rsidRDefault="005077DF" w:rsidP="005077DF">
      <w:pPr>
        <w:tabs>
          <w:tab w:val="left" w:pos="0"/>
        </w:tabs>
        <w:spacing w:after="0" w:line="240" w:lineRule="auto"/>
        <w:ind w:right="51"/>
        <w:jc w:val="both"/>
        <w:rPr>
          <w:rFonts w:ascii="Arial" w:eastAsia="Times New Roman" w:hAnsi="Arial" w:cs="Arial"/>
          <w:i/>
          <w:sz w:val="24"/>
          <w:szCs w:val="24"/>
          <w:lang w:val="en-US" w:eastAsia="es-ES"/>
        </w:rPr>
      </w:pPr>
      <w:r w:rsidRPr="005077DF">
        <w:rPr>
          <w:rFonts w:ascii="Arial" w:eastAsia="Times New Roman" w:hAnsi="Arial" w:cs="Arial"/>
          <w:i/>
          <w:sz w:val="24"/>
          <w:szCs w:val="24"/>
          <w:lang w:val="en-US" w:eastAsia="es-ES"/>
        </w:rPr>
        <w:t>Abstract</w:t>
      </w:r>
    </w:p>
    <w:p w:rsidR="005077DF" w:rsidRPr="005077DF" w:rsidRDefault="005077DF" w:rsidP="005077DF">
      <w:pPr>
        <w:tabs>
          <w:tab w:val="left" w:pos="0"/>
        </w:tabs>
        <w:spacing w:after="0" w:line="240" w:lineRule="auto"/>
        <w:ind w:right="51"/>
        <w:jc w:val="both"/>
        <w:rPr>
          <w:rFonts w:ascii="Arial" w:eastAsia="Times New Roman" w:hAnsi="Arial" w:cs="Arial"/>
          <w:sz w:val="24"/>
          <w:szCs w:val="24"/>
          <w:lang w:val="en-US" w:eastAsia="es-ES"/>
        </w:rPr>
      </w:pPr>
      <w:r w:rsidRPr="005077DF">
        <w:rPr>
          <w:rFonts w:ascii="Arial" w:eastAsia="Times New Roman" w:hAnsi="Arial" w:cs="Arial"/>
          <w:sz w:val="24"/>
          <w:szCs w:val="24"/>
          <w:lang w:val="en-US" w:eastAsia="es-ES"/>
        </w:rPr>
        <w:t xml:space="preserve">The variable </w:t>
      </w:r>
      <w:r w:rsidRPr="005077DF">
        <w:rPr>
          <w:rFonts w:ascii="Arial" w:eastAsia="Times New Roman" w:hAnsi="Arial" w:cs="Arial"/>
          <w:i/>
          <w:sz w:val="24"/>
          <w:szCs w:val="24"/>
          <w:lang w:val="en-US" w:eastAsia="es-ES"/>
        </w:rPr>
        <w:t>teachers</w:t>
      </w:r>
      <w:r w:rsidRPr="005077DF">
        <w:rPr>
          <w:rFonts w:ascii="Arial" w:eastAsia="Times New Roman" w:hAnsi="Arial" w:cs="Arial"/>
          <w:sz w:val="24"/>
          <w:szCs w:val="24"/>
          <w:lang w:val="en-US" w:eastAsia="es-ES"/>
        </w:rPr>
        <w:t xml:space="preserve"> had an impact on the results of the external evaluation, being in many cases, the one which decided the level of accreditation which is proposed to the National Accreditation Board. A study in the field of medical </w:t>
      </w:r>
      <w:r w:rsidRPr="005077DF">
        <w:rPr>
          <w:rFonts w:ascii="Arial" w:eastAsia="Times New Roman" w:hAnsi="Arial" w:cs="Arial"/>
          <w:sz w:val="24"/>
          <w:szCs w:val="24"/>
          <w:lang w:val="en-US" w:eastAsia="es-ES"/>
        </w:rPr>
        <w:lastRenderedPageBreak/>
        <w:t xml:space="preserve">education was carried out to compare the results of the behavior of the most representative indicators of the variable </w:t>
      </w:r>
      <w:r w:rsidRPr="005077DF">
        <w:rPr>
          <w:rFonts w:ascii="Arial" w:eastAsia="Times New Roman" w:hAnsi="Arial" w:cs="Arial"/>
          <w:i/>
          <w:sz w:val="24"/>
          <w:szCs w:val="24"/>
          <w:lang w:val="en-US" w:eastAsia="es-ES"/>
        </w:rPr>
        <w:t>teachers</w:t>
      </w:r>
      <w:r w:rsidRPr="005077DF">
        <w:rPr>
          <w:rFonts w:ascii="Arial" w:eastAsia="Times New Roman" w:hAnsi="Arial" w:cs="Arial"/>
          <w:sz w:val="24"/>
          <w:szCs w:val="24"/>
          <w:lang w:val="en-US" w:eastAsia="es-ES"/>
        </w:rPr>
        <w:t xml:space="preserve">, regarding the self-evaluations in the years 2013 and 2018 in the dental studies of the University of Medical Sciences, using the indicators of the evaluation guidelines for the university studies. The prevailing ages were in the group 46-55 years old in both years with 30,7%  and 36,1%. Females predominated in the staffs of both periods with 72,56 % and 84,84%. There was an increase in science doctors (PhD) and masters with 49, 53, and 11 percent. The index of publications in the Web of Science and BDI was 1,74. It is concluded that the majority of teachers have the academic rank of Full Professors and Associate Professors in both years. There was a remarkable increasing of teachers presenting papers in scientific events. The average of publication in the Web of Science and BDI by teachers increased. The postgraduate activities greatly surpassed those of the period which ended in 2013. </w:t>
      </w:r>
    </w:p>
    <w:p w:rsidR="005077DF" w:rsidRPr="005077DF" w:rsidRDefault="005077DF" w:rsidP="005077DF">
      <w:pPr>
        <w:tabs>
          <w:tab w:val="left" w:pos="0"/>
        </w:tabs>
        <w:spacing w:after="0" w:line="240" w:lineRule="auto"/>
        <w:ind w:right="51"/>
        <w:jc w:val="both"/>
        <w:rPr>
          <w:rFonts w:ascii="Arial" w:eastAsia="Times New Roman" w:hAnsi="Arial" w:cs="Arial"/>
          <w:sz w:val="24"/>
          <w:szCs w:val="24"/>
          <w:lang w:val="en-US" w:eastAsia="es-ES"/>
        </w:rPr>
      </w:pPr>
    </w:p>
    <w:p w:rsidR="005077DF" w:rsidRPr="005077DF" w:rsidRDefault="005077DF" w:rsidP="005077DF">
      <w:pPr>
        <w:spacing w:before="100" w:beforeAutospacing="1" w:after="100" w:afterAutospacing="1" w:line="240" w:lineRule="auto"/>
        <w:jc w:val="both"/>
        <w:rPr>
          <w:rFonts w:ascii="Arial" w:eastAsia="Times New Roman" w:hAnsi="Arial" w:cs="Arial"/>
          <w:sz w:val="24"/>
          <w:szCs w:val="24"/>
          <w:lang w:val="en-US" w:eastAsia="es-ES"/>
        </w:rPr>
      </w:pPr>
      <w:r w:rsidRPr="005077DF">
        <w:rPr>
          <w:rFonts w:ascii="Arial" w:eastAsia="Times New Roman" w:hAnsi="Arial" w:cs="Arial"/>
          <w:sz w:val="24"/>
          <w:szCs w:val="24"/>
          <w:lang w:val="en-US" w:eastAsia="es-ES"/>
        </w:rPr>
        <w:t> Key words: variables of quality, professors, academic rank, publication index, events</w:t>
      </w:r>
    </w:p>
    <w:p w:rsidR="005077DF" w:rsidRPr="004D7BFD" w:rsidRDefault="005077DF" w:rsidP="005077DF">
      <w:pPr>
        <w:tabs>
          <w:tab w:val="left" w:pos="0"/>
        </w:tabs>
        <w:spacing w:after="0" w:line="240" w:lineRule="auto"/>
        <w:ind w:right="51"/>
        <w:rPr>
          <w:rFonts w:ascii="Arial" w:eastAsia="Times New Roman" w:hAnsi="Arial" w:cs="Arial"/>
          <w:color w:val="FF0000"/>
          <w:sz w:val="24"/>
          <w:szCs w:val="24"/>
          <w:lang w:val="en-US" w:eastAsia="es-ES"/>
        </w:rPr>
      </w:pPr>
    </w:p>
    <w:p w:rsidR="00BD4356" w:rsidRPr="001058A1" w:rsidRDefault="00BD4356"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5077DF" w:rsidRPr="001058A1" w:rsidRDefault="005077DF" w:rsidP="00E8559B">
      <w:pPr>
        <w:spacing w:before="100" w:beforeAutospacing="1" w:after="100" w:afterAutospacing="1" w:line="240" w:lineRule="auto"/>
        <w:rPr>
          <w:rFonts w:ascii="Arial" w:eastAsia="Times New Roman" w:hAnsi="Arial" w:cs="Arial"/>
          <w:sz w:val="24"/>
          <w:szCs w:val="24"/>
          <w:lang w:val="en-US" w:eastAsia="es-ES"/>
        </w:rPr>
      </w:pPr>
    </w:p>
    <w:p w:rsidR="00BD4356" w:rsidRPr="001058A1" w:rsidRDefault="00BD4356" w:rsidP="00E8559B">
      <w:pPr>
        <w:spacing w:before="100" w:beforeAutospacing="1" w:after="100" w:afterAutospacing="1" w:line="240" w:lineRule="auto"/>
        <w:rPr>
          <w:rFonts w:ascii="Arial" w:eastAsia="Times New Roman" w:hAnsi="Arial" w:cs="Arial"/>
          <w:sz w:val="24"/>
          <w:szCs w:val="24"/>
          <w:lang w:val="en-US" w:eastAsia="es-ES"/>
        </w:rPr>
      </w:pPr>
    </w:p>
    <w:p w:rsidR="00BD4356" w:rsidRPr="001058A1" w:rsidRDefault="00BD4356" w:rsidP="00E8559B">
      <w:pPr>
        <w:spacing w:before="100" w:beforeAutospacing="1" w:after="100" w:afterAutospacing="1" w:line="240" w:lineRule="auto"/>
        <w:rPr>
          <w:rFonts w:ascii="Arial" w:eastAsia="Times New Roman" w:hAnsi="Arial" w:cs="Arial"/>
          <w:sz w:val="24"/>
          <w:szCs w:val="24"/>
          <w:lang w:val="en-US" w:eastAsia="es-ES"/>
        </w:rPr>
      </w:pPr>
    </w:p>
    <w:p w:rsidR="00E861BE" w:rsidRPr="00EF390B" w:rsidRDefault="00E861BE" w:rsidP="00391CC5">
      <w:pPr>
        <w:spacing w:after="0" w:line="240" w:lineRule="auto"/>
        <w:rPr>
          <w:rFonts w:ascii="Arial" w:eastAsia="Times New Roman" w:hAnsi="Arial" w:cs="Arial"/>
          <w:sz w:val="24"/>
          <w:szCs w:val="24"/>
          <w:lang w:eastAsia="es-ES"/>
        </w:rPr>
      </w:pPr>
      <w:r w:rsidRPr="001058A1">
        <w:rPr>
          <w:rFonts w:ascii="Arial" w:eastAsia="Times New Roman" w:hAnsi="Arial" w:cs="Arial"/>
          <w:sz w:val="24"/>
          <w:szCs w:val="24"/>
          <w:lang w:val="en-US" w:eastAsia="es-ES"/>
        </w:rPr>
        <w:t>                                                                                                                  </w:t>
      </w:r>
      <w:r w:rsidR="00EF390B" w:rsidRPr="001058A1">
        <w:rPr>
          <w:rFonts w:ascii="Arial" w:eastAsia="Times New Roman" w:hAnsi="Arial" w:cs="Arial"/>
          <w:sz w:val="24"/>
          <w:szCs w:val="24"/>
          <w:lang w:val="en-US" w:eastAsia="es-ES"/>
        </w:rPr>
        <w:t>                  </w:t>
      </w:r>
      <w:r w:rsidRPr="00EF390B">
        <w:rPr>
          <w:rFonts w:ascii="Arial" w:eastAsia="Times New Roman" w:hAnsi="Arial" w:cs="Arial"/>
          <w:sz w:val="24"/>
          <w:szCs w:val="24"/>
          <w:lang w:eastAsia="es-ES"/>
        </w:rPr>
        <w:t xml:space="preserve">INTRODUCCION </w:t>
      </w:r>
    </w:p>
    <w:p w:rsidR="006F167D" w:rsidRPr="00EF390B" w:rsidRDefault="006F167D" w:rsidP="00391CC5">
      <w:pPr>
        <w:spacing w:after="0" w:line="240" w:lineRule="auto"/>
        <w:ind w:right="-72"/>
        <w:jc w:val="both"/>
        <w:rPr>
          <w:rFonts w:ascii="Arial" w:eastAsia="Times New Roman" w:hAnsi="Arial" w:cs="Arial"/>
          <w:sz w:val="24"/>
          <w:szCs w:val="24"/>
          <w:lang w:eastAsia="es-ES"/>
        </w:rPr>
      </w:pPr>
      <w:r w:rsidRPr="00EF390B">
        <w:rPr>
          <w:rFonts w:ascii="Arial" w:hAnsi="Arial" w:cs="Arial"/>
          <w:sz w:val="24"/>
          <w:szCs w:val="24"/>
        </w:rPr>
        <w:t xml:space="preserve">En la década de los 80s el Ministerio de Salud Pública en coordinación con el Ministerio de Educación Superior inició </w:t>
      </w:r>
      <w:r w:rsidR="00855B83">
        <w:rPr>
          <w:rFonts w:ascii="Arial" w:hAnsi="Arial" w:cs="Arial"/>
          <w:sz w:val="24"/>
          <w:szCs w:val="24"/>
        </w:rPr>
        <w:t>la</w:t>
      </w:r>
      <w:r w:rsidRPr="00EF390B">
        <w:rPr>
          <w:rFonts w:ascii="Arial" w:hAnsi="Arial" w:cs="Arial"/>
          <w:sz w:val="24"/>
          <w:szCs w:val="24"/>
        </w:rPr>
        <w:t>s inspecciones académicas a los Centros de Educación Médica Superior (CEMS), con el fin de evaluar la calidad del trabajo desarrollado en un período determinado</w:t>
      </w:r>
      <w:r w:rsidR="00714C34" w:rsidRPr="00EF390B">
        <w:rPr>
          <w:rFonts w:ascii="Arial" w:hAnsi="Arial" w:cs="Arial"/>
          <w:sz w:val="24"/>
          <w:szCs w:val="24"/>
        </w:rPr>
        <w:t>.</w:t>
      </w:r>
    </w:p>
    <w:p w:rsidR="00714C34" w:rsidRPr="00EF390B" w:rsidRDefault="00874841" w:rsidP="00E26596">
      <w:pPr>
        <w:tabs>
          <w:tab w:val="left" w:pos="-284"/>
        </w:tabs>
        <w:spacing w:after="0" w:line="240" w:lineRule="auto"/>
        <w:ind w:right="-72"/>
        <w:jc w:val="both"/>
        <w:rPr>
          <w:rFonts w:ascii="Arial" w:hAnsi="Arial" w:cs="Arial"/>
          <w:sz w:val="24"/>
          <w:szCs w:val="24"/>
        </w:rPr>
      </w:pPr>
      <w:r w:rsidRPr="00EF390B">
        <w:rPr>
          <w:rFonts w:ascii="Arial" w:hAnsi="Arial" w:cs="Arial"/>
          <w:sz w:val="24"/>
          <w:szCs w:val="24"/>
        </w:rPr>
        <w:t>Como complemento de las inspecciones el Ministerio de Educación superior(MES), en el año 1999 estableció e</w:t>
      </w:r>
      <w:r w:rsidR="006C68AA" w:rsidRPr="00EF390B">
        <w:rPr>
          <w:rFonts w:ascii="Arial" w:hAnsi="Arial" w:cs="Arial"/>
          <w:sz w:val="24"/>
          <w:szCs w:val="24"/>
        </w:rPr>
        <w:t>l Sistema Universitario de Programas de Acreditación (SUPRA)</w:t>
      </w:r>
      <w:r w:rsidR="00855B83">
        <w:rPr>
          <w:rFonts w:ascii="Arial" w:hAnsi="Arial" w:cs="Arial"/>
          <w:sz w:val="24"/>
          <w:szCs w:val="24"/>
        </w:rPr>
        <w:t xml:space="preserve">, </w:t>
      </w:r>
      <w:r w:rsidR="006C68AA" w:rsidRPr="00EF390B">
        <w:rPr>
          <w:rFonts w:ascii="Arial" w:hAnsi="Arial" w:cs="Arial"/>
          <w:sz w:val="24"/>
          <w:szCs w:val="24"/>
        </w:rPr>
        <w:t>siendo la acreditación el resultado de la aplicación de un sistema de evaluación externa que permite reconocer, públicamente, que una institución, proceso o programa reúne determinados estándares de calidad definidos previamente</w:t>
      </w:r>
      <w:r w:rsidR="00714C34" w:rsidRPr="00EF390B">
        <w:rPr>
          <w:rFonts w:ascii="Arial" w:hAnsi="Arial" w:cs="Arial"/>
          <w:sz w:val="24"/>
          <w:szCs w:val="24"/>
        </w:rPr>
        <w:t>, siendo parte del SUPRA el Sistema de Evaluación y Acreditación de Carreras Universitarias (SEA- CU)</w:t>
      </w:r>
      <w:r w:rsidR="006C68AA" w:rsidRPr="00EF390B">
        <w:rPr>
          <w:rFonts w:ascii="Arial" w:eastAsia="Times New Roman" w:hAnsi="Arial" w:cs="Arial"/>
          <w:sz w:val="24"/>
          <w:szCs w:val="24"/>
          <w:lang w:eastAsia="es-ES"/>
        </w:rPr>
        <w:t xml:space="preserve">. </w:t>
      </w:r>
      <w:r w:rsidR="003F6726" w:rsidRPr="00EF390B">
        <w:rPr>
          <w:rFonts w:ascii="Arial" w:eastAsia="Times New Roman" w:hAnsi="Arial" w:cs="Arial"/>
          <w:sz w:val="24"/>
          <w:szCs w:val="24"/>
          <w:lang w:eastAsia="es-ES"/>
        </w:rPr>
        <w:t xml:space="preserve">(MES, </w:t>
      </w:r>
      <w:r w:rsidR="004945A3" w:rsidRPr="00EF390B">
        <w:rPr>
          <w:rFonts w:ascii="Arial" w:eastAsia="Times New Roman" w:hAnsi="Arial" w:cs="Arial"/>
          <w:sz w:val="24"/>
          <w:szCs w:val="24"/>
          <w:lang w:eastAsia="es-ES"/>
        </w:rPr>
        <w:t>2014</w:t>
      </w:r>
      <w:r w:rsidR="003F6726" w:rsidRPr="00EF390B">
        <w:rPr>
          <w:rFonts w:ascii="Arial" w:eastAsia="Times New Roman" w:hAnsi="Arial" w:cs="Arial"/>
          <w:sz w:val="24"/>
          <w:szCs w:val="24"/>
          <w:lang w:eastAsia="es-ES"/>
        </w:rPr>
        <w:t>)</w:t>
      </w:r>
    </w:p>
    <w:p w:rsidR="006C68AA" w:rsidRPr="00EF390B" w:rsidRDefault="00B44478" w:rsidP="00E26596">
      <w:pPr>
        <w:tabs>
          <w:tab w:val="left" w:pos="-284"/>
        </w:tabs>
        <w:spacing w:after="0" w:line="240" w:lineRule="auto"/>
        <w:ind w:right="-72"/>
        <w:jc w:val="both"/>
        <w:rPr>
          <w:rFonts w:ascii="Arial" w:eastAsia="Times New Roman" w:hAnsi="Arial" w:cs="Arial"/>
          <w:sz w:val="24"/>
          <w:szCs w:val="24"/>
          <w:lang w:eastAsia="es-ES"/>
        </w:rPr>
      </w:pPr>
      <w:r w:rsidRPr="00EF390B">
        <w:rPr>
          <w:rFonts w:ascii="Arial" w:hAnsi="Arial" w:cs="Arial"/>
          <w:sz w:val="24"/>
          <w:szCs w:val="24"/>
        </w:rPr>
        <w:t>El</w:t>
      </w:r>
      <w:r w:rsidRPr="00EF390B">
        <w:rPr>
          <w:rFonts w:ascii="Arial" w:eastAsia="Times New Roman" w:hAnsi="Arial" w:cs="Arial"/>
          <w:sz w:val="24"/>
          <w:szCs w:val="24"/>
          <w:lang w:eastAsia="es-ES"/>
        </w:rPr>
        <w:t>SEA</w:t>
      </w:r>
      <w:r w:rsidR="00714C34" w:rsidRPr="00EF390B">
        <w:rPr>
          <w:rFonts w:ascii="Arial" w:eastAsia="Times New Roman" w:hAnsi="Arial" w:cs="Arial"/>
          <w:sz w:val="24"/>
          <w:szCs w:val="24"/>
          <w:lang w:eastAsia="es-ES"/>
        </w:rPr>
        <w:t xml:space="preserve">-CU define </w:t>
      </w:r>
      <w:r w:rsidR="00B066F4" w:rsidRPr="00EF390B">
        <w:rPr>
          <w:rFonts w:ascii="Arial" w:eastAsia="Times New Roman" w:hAnsi="Arial" w:cs="Arial"/>
          <w:sz w:val="24"/>
          <w:szCs w:val="24"/>
          <w:lang w:eastAsia="es-ES"/>
        </w:rPr>
        <w:t>cinco v</w:t>
      </w:r>
      <w:r w:rsidR="00714C34" w:rsidRPr="00EF390B">
        <w:rPr>
          <w:rFonts w:ascii="Arial" w:eastAsia="Times New Roman" w:hAnsi="Arial" w:cs="Arial"/>
          <w:sz w:val="24"/>
          <w:szCs w:val="24"/>
          <w:lang w:eastAsia="es-ES"/>
        </w:rPr>
        <w:t>ariables de calidad</w:t>
      </w:r>
      <w:r w:rsidRPr="00EF390B">
        <w:rPr>
          <w:rFonts w:ascii="Arial" w:eastAsia="Times New Roman" w:hAnsi="Arial" w:cs="Arial"/>
          <w:sz w:val="24"/>
          <w:szCs w:val="24"/>
          <w:lang w:eastAsia="es-ES"/>
        </w:rPr>
        <w:t xml:space="preserve">: Pertinencia e impacto social, Profesores y personal auxiliar, Estudiantes, Infraestructura y Currículo. </w:t>
      </w:r>
    </w:p>
    <w:p w:rsidR="00B44478" w:rsidRPr="00EF390B" w:rsidRDefault="00B44478" w:rsidP="00E26596">
      <w:pPr>
        <w:tabs>
          <w:tab w:val="left" w:pos="-284"/>
        </w:tabs>
        <w:spacing w:after="0" w:line="240" w:lineRule="auto"/>
        <w:ind w:right="-72"/>
        <w:jc w:val="both"/>
        <w:rPr>
          <w:rFonts w:ascii="Arial" w:hAnsi="Arial" w:cs="Arial"/>
          <w:sz w:val="24"/>
          <w:szCs w:val="24"/>
        </w:rPr>
      </w:pPr>
      <w:r w:rsidRPr="00EF390B">
        <w:rPr>
          <w:rFonts w:ascii="Arial" w:eastAsia="Times New Roman" w:hAnsi="Arial" w:cs="Arial"/>
          <w:sz w:val="24"/>
          <w:szCs w:val="24"/>
          <w:lang w:eastAsia="es-ES"/>
        </w:rPr>
        <w:t xml:space="preserve">La variable profesores tiene un impacto fundamental en los resultados de la evaluación externa y la propuesta del nivel de calidad alcanzado por el programa de una carrera, </w:t>
      </w:r>
      <w:r w:rsidR="00E03721" w:rsidRPr="00EF390B">
        <w:rPr>
          <w:rFonts w:ascii="Arial" w:eastAsia="Times New Roman" w:hAnsi="Arial" w:cs="Arial"/>
          <w:sz w:val="24"/>
          <w:szCs w:val="24"/>
          <w:lang w:eastAsia="es-ES"/>
        </w:rPr>
        <w:t>siendo, según</w:t>
      </w:r>
      <w:r w:rsidRPr="00EF390B">
        <w:rPr>
          <w:rFonts w:ascii="Arial" w:eastAsia="Times New Roman" w:hAnsi="Arial" w:cs="Arial"/>
          <w:sz w:val="24"/>
          <w:szCs w:val="24"/>
          <w:lang w:eastAsia="es-ES"/>
        </w:rPr>
        <w:t xml:space="preserve"> la experiencia como expertos </w:t>
      </w:r>
      <w:r w:rsidR="00B066F4" w:rsidRPr="00EF390B">
        <w:rPr>
          <w:rFonts w:ascii="Arial" w:eastAsia="Times New Roman" w:hAnsi="Arial" w:cs="Arial"/>
          <w:sz w:val="24"/>
          <w:szCs w:val="24"/>
          <w:lang w:eastAsia="es-ES"/>
        </w:rPr>
        <w:t xml:space="preserve">en evaluaciones externas </w:t>
      </w:r>
      <w:r w:rsidR="002B799B" w:rsidRPr="00EF390B">
        <w:rPr>
          <w:rFonts w:ascii="Arial" w:eastAsia="Times New Roman" w:hAnsi="Arial" w:cs="Arial"/>
          <w:sz w:val="24"/>
          <w:szCs w:val="24"/>
          <w:lang w:eastAsia="es-ES"/>
        </w:rPr>
        <w:t>de</w:t>
      </w:r>
      <w:r w:rsidR="00B066F4" w:rsidRPr="00EF390B">
        <w:rPr>
          <w:rFonts w:ascii="Arial" w:eastAsia="Times New Roman" w:hAnsi="Arial" w:cs="Arial"/>
          <w:sz w:val="24"/>
          <w:szCs w:val="24"/>
          <w:lang w:eastAsia="es-ES"/>
        </w:rPr>
        <w:t xml:space="preserve"> la carrera de Estomatología, la variable que decide el nivel de acreditación que se propone a la Junta de Acreditación Nacional (JAN)</w:t>
      </w:r>
      <w:r w:rsidR="003F6726" w:rsidRPr="00EF390B">
        <w:rPr>
          <w:rFonts w:ascii="Arial" w:hAnsi="Arial" w:cs="Arial"/>
          <w:sz w:val="24"/>
          <w:szCs w:val="24"/>
        </w:rPr>
        <w:t>(Barciela</w:t>
      </w:r>
      <w:r w:rsidR="00391CC5">
        <w:rPr>
          <w:rFonts w:ascii="Arial" w:hAnsi="Arial" w:cs="Arial"/>
          <w:sz w:val="24"/>
          <w:szCs w:val="24"/>
        </w:rPr>
        <w:t xml:space="preserve">, Grau, Vélez y Soto, </w:t>
      </w:r>
      <w:r w:rsidR="00391CC5" w:rsidRPr="00EF390B">
        <w:rPr>
          <w:rFonts w:ascii="Arial" w:hAnsi="Arial" w:cs="Arial"/>
          <w:sz w:val="24"/>
          <w:szCs w:val="24"/>
        </w:rPr>
        <w:t>2014</w:t>
      </w:r>
      <w:r w:rsidR="003F6726" w:rsidRPr="00EF390B">
        <w:rPr>
          <w:rFonts w:ascii="Arial" w:hAnsi="Arial" w:cs="Arial"/>
          <w:sz w:val="24"/>
          <w:szCs w:val="24"/>
        </w:rPr>
        <w:t>)</w:t>
      </w:r>
    </w:p>
    <w:p w:rsidR="003F5FB1" w:rsidRPr="00EF390B" w:rsidRDefault="002B799B" w:rsidP="00E26596">
      <w:pPr>
        <w:spacing w:after="0" w:line="240" w:lineRule="auto"/>
        <w:jc w:val="both"/>
        <w:rPr>
          <w:rFonts w:ascii="Arial" w:eastAsia="Times New Roman" w:hAnsi="Arial" w:cs="Arial"/>
          <w:sz w:val="24"/>
          <w:szCs w:val="24"/>
          <w:lang w:eastAsia="es-ES"/>
        </w:rPr>
      </w:pPr>
      <w:r w:rsidRPr="00EF390B">
        <w:rPr>
          <w:rFonts w:ascii="Arial" w:eastAsia="Times New Roman" w:hAnsi="Arial" w:cs="Arial"/>
          <w:sz w:val="24"/>
          <w:szCs w:val="24"/>
          <w:lang w:eastAsia="es-ES"/>
        </w:rPr>
        <w:t>La carrera de la Facultad de Estomatología de la Universidad de Ciencias Médicas de la Habana</w:t>
      </w:r>
      <w:r w:rsidR="00874841" w:rsidRPr="00EF390B">
        <w:rPr>
          <w:rFonts w:ascii="Arial" w:eastAsia="Times New Roman" w:hAnsi="Arial" w:cs="Arial"/>
          <w:sz w:val="24"/>
          <w:szCs w:val="24"/>
          <w:lang w:eastAsia="es-ES"/>
        </w:rPr>
        <w:t xml:space="preserve"> (UCMH)</w:t>
      </w:r>
      <w:r w:rsidRPr="00EF390B">
        <w:rPr>
          <w:rFonts w:ascii="Arial" w:eastAsia="Times New Roman" w:hAnsi="Arial" w:cs="Arial"/>
          <w:sz w:val="24"/>
          <w:szCs w:val="24"/>
          <w:lang w:eastAsia="es-ES"/>
        </w:rPr>
        <w:t xml:space="preserve"> ha sido acreditada en tres ocasiones. En 2004 alcanzó la categoría de Certificada y en 2008 y 2013 la categoría de Excelencia. En </w:t>
      </w:r>
      <w:r w:rsidR="003F5FB1" w:rsidRPr="00EF390B">
        <w:rPr>
          <w:rFonts w:ascii="Arial" w:eastAsia="Times New Roman" w:hAnsi="Arial" w:cs="Arial"/>
          <w:sz w:val="24"/>
          <w:szCs w:val="24"/>
          <w:lang w:eastAsia="es-ES"/>
        </w:rPr>
        <w:t>estos momentos se entregó el informe de autoevaluación y será en el presente año, 2019, objeto</w:t>
      </w:r>
      <w:r w:rsidRPr="00EF390B">
        <w:rPr>
          <w:rFonts w:ascii="Arial" w:eastAsia="Times New Roman" w:hAnsi="Arial" w:cs="Arial"/>
          <w:sz w:val="24"/>
          <w:szCs w:val="24"/>
          <w:lang w:eastAsia="es-ES"/>
        </w:rPr>
        <w:t xml:space="preserve"> de evaluación externa</w:t>
      </w:r>
      <w:r w:rsidR="003F5FB1" w:rsidRPr="00EF390B">
        <w:rPr>
          <w:rFonts w:ascii="Arial" w:eastAsia="Times New Roman" w:hAnsi="Arial" w:cs="Arial"/>
          <w:sz w:val="24"/>
          <w:szCs w:val="24"/>
          <w:lang w:eastAsia="es-ES"/>
        </w:rPr>
        <w:t>.</w:t>
      </w:r>
    </w:p>
    <w:p w:rsidR="00874841" w:rsidRPr="00EF390B" w:rsidRDefault="003F5FB1" w:rsidP="00E26596">
      <w:pPr>
        <w:spacing w:after="0" w:line="240" w:lineRule="auto"/>
        <w:jc w:val="both"/>
        <w:rPr>
          <w:rFonts w:ascii="Arial" w:hAnsi="Arial" w:cs="Arial"/>
          <w:sz w:val="24"/>
          <w:szCs w:val="24"/>
        </w:rPr>
      </w:pPr>
      <w:r w:rsidRPr="00EF390B">
        <w:rPr>
          <w:rFonts w:ascii="Arial" w:hAnsi="Arial" w:cs="Arial"/>
          <w:sz w:val="24"/>
          <w:szCs w:val="24"/>
        </w:rPr>
        <w:t xml:space="preserve">En los dos últimos </w:t>
      </w:r>
      <w:r w:rsidR="00874841" w:rsidRPr="00EF390B">
        <w:rPr>
          <w:rFonts w:ascii="Arial" w:hAnsi="Arial" w:cs="Arial"/>
          <w:sz w:val="24"/>
          <w:szCs w:val="24"/>
        </w:rPr>
        <w:t>procesos de evaluación y acreditación de la carrera de Estomatología de la UCMH</w:t>
      </w:r>
      <w:r w:rsidRPr="00EF390B">
        <w:rPr>
          <w:rFonts w:ascii="Arial" w:hAnsi="Arial" w:cs="Arial"/>
          <w:sz w:val="24"/>
          <w:szCs w:val="24"/>
        </w:rPr>
        <w:t xml:space="preserve"> la variable profesores no </w:t>
      </w:r>
      <w:r w:rsidR="00874841" w:rsidRPr="00EF390B">
        <w:rPr>
          <w:rFonts w:ascii="Arial" w:hAnsi="Arial" w:cs="Arial"/>
          <w:sz w:val="24"/>
          <w:szCs w:val="24"/>
        </w:rPr>
        <w:t>presentó</w:t>
      </w:r>
      <w:r w:rsidR="00E03721" w:rsidRPr="00EF390B">
        <w:rPr>
          <w:rFonts w:ascii="Arial" w:hAnsi="Arial" w:cs="Arial"/>
          <w:sz w:val="24"/>
          <w:szCs w:val="24"/>
        </w:rPr>
        <w:t>debilidades, (</w:t>
      </w:r>
      <w:r w:rsidR="003F6726" w:rsidRPr="00EF390B">
        <w:rPr>
          <w:rFonts w:ascii="Arial" w:hAnsi="Arial" w:cs="Arial"/>
          <w:sz w:val="24"/>
          <w:szCs w:val="24"/>
        </w:rPr>
        <w:t xml:space="preserve">Barciela, </w:t>
      </w:r>
      <w:r w:rsidR="00391CC5">
        <w:rPr>
          <w:rFonts w:ascii="Arial" w:hAnsi="Arial" w:cs="Arial"/>
          <w:sz w:val="24"/>
          <w:szCs w:val="24"/>
        </w:rPr>
        <w:t>Grau, Fernández y Rosales</w:t>
      </w:r>
      <w:r w:rsidR="003F6726" w:rsidRPr="00EF390B">
        <w:rPr>
          <w:rFonts w:ascii="Arial" w:hAnsi="Arial" w:cs="Arial"/>
          <w:sz w:val="24"/>
          <w:szCs w:val="24"/>
        </w:rPr>
        <w:t>, 2015)</w:t>
      </w:r>
      <w:r w:rsidRPr="00EF390B">
        <w:rPr>
          <w:rFonts w:ascii="Arial" w:hAnsi="Arial" w:cs="Arial"/>
          <w:sz w:val="24"/>
          <w:szCs w:val="24"/>
        </w:rPr>
        <w:t xml:space="preserve"> no obstante, en el plan de </w:t>
      </w:r>
      <w:r w:rsidR="00F25773" w:rsidRPr="00EF390B">
        <w:rPr>
          <w:rFonts w:ascii="Arial" w:hAnsi="Arial" w:cs="Arial"/>
          <w:sz w:val="24"/>
          <w:szCs w:val="24"/>
        </w:rPr>
        <w:t>mejora y en la estrategia para medir el impacto se tuvo</w:t>
      </w:r>
      <w:r w:rsidRPr="00EF390B">
        <w:rPr>
          <w:rFonts w:ascii="Arial" w:hAnsi="Arial" w:cs="Arial"/>
          <w:sz w:val="24"/>
          <w:szCs w:val="24"/>
        </w:rPr>
        <w:t xml:space="preserve"> en cuenta alcanzar propósitos superiores en los indicadores previstos </w:t>
      </w:r>
      <w:r w:rsidR="00F25773" w:rsidRPr="00EF390B">
        <w:rPr>
          <w:rFonts w:ascii="Arial" w:hAnsi="Arial" w:cs="Arial"/>
          <w:sz w:val="24"/>
          <w:szCs w:val="24"/>
        </w:rPr>
        <w:t>para la misma.</w:t>
      </w:r>
    </w:p>
    <w:p w:rsidR="005009E5" w:rsidRPr="00EF390B" w:rsidRDefault="005009E5" w:rsidP="00E26596">
      <w:pPr>
        <w:spacing w:after="0" w:line="240" w:lineRule="auto"/>
        <w:jc w:val="both"/>
        <w:rPr>
          <w:rFonts w:ascii="Arial" w:hAnsi="Arial" w:cs="Arial"/>
          <w:sz w:val="24"/>
          <w:szCs w:val="24"/>
        </w:rPr>
      </w:pPr>
      <w:r w:rsidRPr="00EF390B">
        <w:rPr>
          <w:rFonts w:ascii="Arial" w:hAnsi="Arial" w:cs="Arial"/>
          <w:sz w:val="24"/>
          <w:szCs w:val="24"/>
        </w:rPr>
        <w:t xml:space="preserve">El </w:t>
      </w:r>
      <w:r w:rsidR="00855B83">
        <w:rPr>
          <w:rFonts w:ascii="Arial" w:hAnsi="Arial" w:cs="Arial"/>
          <w:sz w:val="24"/>
          <w:szCs w:val="24"/>
        </w:rPr>
        <w:t xml:space="preserve">objetivo del </w:t>
      </w:r>
      <w:r w:rsidRPr="00EF390B">
        <w:rPr>
          <w:rFonts w:ascii="Arial" w:hAnsi="Arial" w:cs="Arial"/>
          <w:sz w:val="24"/>
          <w:szCs w:val="24"/>
        </w:rPr>
        <w:t xml:space="preserve">presente trabajo es mostrar los resultados comparativos del comportamiento de los indicadores más representativos de la variable profesores, correspondientes a las autoevaluaciones </w:t>
      </w:r>
      <w:r w:rsidR="00487344" w:rsidRPr="00EF390B">
        <w:rPr>
          <w:rFonts w:ascii="Arial" w:hAnsi="Arial" w:cs="Arial"/>
          <w:sz w:val="24"/>
          <w:szCs w:val="24"/>
        </w:rPr>
        <w:t>de 2013</w:t>
      </w:r>
      <w:r w:rsidRPr="00EF390B">
        <w:rPr>
          <w:rFonts w:ascii="Arial" w:hAnsi="Arial" w:cs="Arial"/>
          <w:sz w:val="24"/>
          <w:szCs w:val="24"/>
        </w:rPr>
        <w:t xml:space="preserve"> y 2018 de la carrera de Estomatología de la UCMH.</w:t>
      </w:r>
    </w:p>
    <w:p w:rsidR="00E03721" w:rsidRPr="00EF390B" w:rsidRDefault="00E03721" w:rsidP="00E26596">
      <w:pPr>
        <w:tabs>
          <w:tab w:val="left" w:pos="-284"/>
        </w:tabs>
        <w:spacing w:after="0" w:line="240" w:lineRule="auto"/>
        <w:ind w:right="-72"/>
        <w:jc w:val="both"/>
        <w:rPr>
          <w:rFonts w:ascii="Arial" w:eastAsia="Times New Roman" w:hAnsi="Arial" w:cs="Arial"/>
          <w:sz w:val="24"/>
          <w:szCs w:val="24"/>
          <w:lang w:eastAsia="es-ES"/>
        </w:rPr>
      </w:pPr>
      <w:r w:rsidRPr="00EF390B">
        <w:rPr>
          <w:rFonts w:ascii="Arial" w:eastAsia="Times New Roman" w:hAnsi="Arial" w:cs="Arial"/>
          <w:sz w:val="24"/>
          <w:szCs w:val="24"/>
          <w:lang w:eastAsia="es-ES"/>
        </w:rPr>
        <w:t>DESARROLLO</w:t>
      </w:r>
    </w:p>
    <w:p w:rsidR="005009E5" w:rsidRPr="00EF390B" w:rsidRDefault="005009E5" w:rsidP="00E26596">
      <w:pPr>
        <w:spacing w:after="0" w:line="240" w:lineRule="auto"/>
        <w:jc w:val="both"/>
        <w:rPr>
          <w:rFonts w:ascii="Arial" w:hAnsi="Arial" w:cs="Arial"/>
          <w:sz w:val="24"/>
          <w:szCs w:val="24"/>
        </w:rPr>
      </w:pPr>
      <w:r w:rsidRPr="00EF390B">
        <w:rPr>
          <w:rFonts w:ascii="Arial" w:hAnsi="Arial" w:cs="Arial"/>
          <w:sz w:val="24"/>
          <w:szCs w:val="24"/>
        </w:rPr>
        <w:t xml:space="preserve">Se realizó un estudio en el campo de la educación médica, para comparar los indicadores más representativos contenidos en </w:t>
      </w:r>
      <w:r w:rsidR="003F6726" w:rsidRPr="00EF390B">
        <w:rPr>
          <w:rFonts w:ascii="Arial" w:hAnsi="Arial" w:cs="Arial"/>
          <w:sz w:val="24"/>
          <w:szCs w:val="24"/>
        </w:rPr>
        <w:t>la guía</w:t>
      </w:r>
      <w:r w:rsidRPr="00EF390B">
        <w:rPr>
          <w:rFonts w:ascii="Arial" w:hAnsi="Arial" w:cs="Arial"/>
          <w:sz w:val="24"/>
          <w:szCs w:val="24"/>
        </w:rPr>
        <w:t xml:space="preserve"> de </w:t>
      </w:r>
      <w:r w:rsidR="003F6726" w:rsidRPr="00EF390B">
        <w:rPr>
          <w:rFonts w:ascii="Arial" w:hAnsi="Arial" w:cs="Arial"/>
          <w:sz w:val="24"/>
          <w:szCs w:val="24"/>
        </w:rPr>
        <w:t xml:space="preserve">evaluación de las carreras universitarias </w:t>
      </w:r>
      <w:r w:rsidRPr="00EF390B">
        <w:rPr>
          <w:rFonts w:ascii="Arial" w:hAnsi="Arial" w:cs="Arial"/>
          <w:sz w:val="24"/>
          <w:szCs w:val="24"/>
        </w:rPr>
        <w:t xml:space="preserve">del SEA- CU </w:t>
      </w:r>
      <w:r w:rsidR="003F6726" w:rsidRPr="00EF390B">
        <w:rPr>
          <w:rFonts w:ascii="Arial" w:hAnsi="Arial" w:cs="Arial"/>
          <w:sz w:val="24"/>
          <w:szCs w:val="24"/>
        </w:rPr>
        <w:t>(MES, 20</w:t>
      </w:r>
      <w:r w:rsidR="00A375E4">
        <w:rPr>
          <w:rFonts w:ascii="Arial" w:hAnsi="Arial" w:cs="Arial"/>
          <w:sz w:val="24"/>
          <w:szCs w:val="24"/>
        </w:rPr>
        <w:t>14</w:t>
      </w:r>
      <w:r w:rsidR="003F6726" w:rsidRPr="00EF390B">
        <w:rPr>
          <w:rFonts w:ascii="Arial" w:hAnsi="Arial" w:cs="Arial"/>
          <w:sz w:val="24"/>
          <w:szCs w:val="24"/>
        </w:rPr>
        <w:t xml:space="preserve">) </w:t>
      </w:r>
      <w:r w:rsidRPr="00EF390B">
        <w:rPr>
          <w:rFonts w:ascii="Arial" w:hAnsi="Arial" w:cs="Arial"/>
          <w:sz w:val="24"/>
          <w:szCs w:val="24"/>
        </w:rPr>
        <w:t>de la variable profe</w:t>
      </w:r>
      <w:r w:rsidR="00A5174F" w:rsidRPr="00EF390B">
        <w:rPr>
          <w:rFonts w:ascii="Arial" w:hAnsi="Arial" w:cs="Arial"/>
          <w:sz w:val="24"/>
          <w:szCs w:val="24"/>
        </w:rPr>
        <w:t xml:space="preserve">sores correspondiente al quinquenio que culminó en o </w:t>
      </w:r>
      <w:r w:rsidRPr="00EF390B">
        <w:rPr>
          <w:rFonts w:ascii="Arial" w:hAnsi="Arial" w:cs="Arial"/>
          <w:sz w:val="24"/>
          <w:szCs w:val="24"/>
        </w:rPr>
        <w:t xml:space="preserve">2013 y </w:t>
      </w:r>
      <w:r w:rsidR="00A5174F" w:rsidRPr="00EF390B">
        <w:rPr>
          <w:rFonts w:ascii="Arial" w:hAnsi="Arial" w:cs="Arial"/>
          <w:sz w:val="24"/>
          <w:szCs w:val="24"/>
        </w:rPr>
        <w:t xml:space="preserve">el que culminó en </w:t>
      </w:r>
      <w:r w:rsidRPr="00EF390B">
        <w:rPr>
          <w:rFonts w:ascii="Arial" w:hAnsi="Arial" w:cs="Arial"/>
          <w:sz w:val="24"/>
          <w:szCs w:val="24"/>
        </w:rPr>
        <w:t>201</w:t>
      </w:r>
      <w:r w:rsidR="00E922CB" w:rsidRPr="00EF390B">
        <w:rPr>
          <w:rFonts w:ascii="Arial" w:hAnsi="Arial" w:cs="Arial"/>
          <w:sz w:val="24"/>
          <w:szCs w:val="24"/>
        </w:rPr>
        <w:t>8</w:t>
      </w:r>
      <w:r w:rsidRPr="00EF390B">
        <w:rPr>
          <w:rFonts w:ascii="Arial" w:hAnsi="Arial" w:cs="Arial"/>
          <w:sz w:val="24"/>
          <w:szCs w:val="24"/>
        </w:rPr>
        <w:t xml:space="preserve"> del claustro de profesores de la Facultad de Estomatología de la UCMH que desarrollaron acciones directas con el estudiante, para su formación, en los últimos cursos correspondientes a cada año seleccionado.  El claustro del curso 2</w:t>
      </w:r>
      <w:r w:rsidR="00EC4E68" w:rsidRPr="00EF390B">
        <w:rPr>
          <w:rFonts w:ascii="Arial" w:hAnsi="Arial" w:cs="Arial"/>
          <w:sz w:val="24"/>
          <w:szCs w:val="24"/>
        </w:rPr>
        <w:t xml:space="preserve">012 - 2013 </w:t>
      </w:r>
      <w:r w:rsidR="00A5174F" w:rsidRPr="00EF390B">
        <w:rPr>
          <w:rFonts w:ascii="Arial" w:hAnsi="Arial" w:cs="Arial"/>
          <w:sz w:val="24"/>
          <w:szCs w:val="24"/>
        </w:rPr>
        <w:t>estuvo constituido por</w:t>
      </w:r>
      <w:r w:rsidR="00EC4E68" w:rsidRPr="00EF390B">
        <w:rPr>
          <w:rFonts w:ascii="Arial" w:hAnsi="Arial" w:cs="Arial"/>
          <w:sz w:val="24"/>
          <w:szCs w:val="24"/>
        </w:rPr>
        <w:t xml:space="preserve"> 226</w:t>
      </w:r>
      <w:r w:rsidR="00A5174F" w:rsidRPr="00EF390B">
        <w:rPr>
          <w:rFonts w:ascii="Arial" w:hAnsi="Arial" w:cs="Arial"/>
          <w:sz w:val="24"/>
          <w:szCs w:val="24"/>
        </w:rPr>
        <w:t xml:space="preserve">profesores </w:t>
      </w:r>
      <w:r w:rsidRPr="00EF390B">
        <w:rPr>
          <w:rFonts w:ascii="Arial" w:hAnsi="Arial" w:cs="Arial"/>
          <w:sz w:val="24"/>
          <w:szCs w:val="24"/>
        </w:rPr>
        <w:t>y el del 2017-2018 por 214.</w:t>
      </w:r>
    </w:p>
    <w:p w:rsidR="00EF390B" w:rsidRDefault="005009E5" w:rsidP="00325977">
      <w:pPr>
        <w:spacing w:after="0" w:line="240" w:lineRule="auto"/>
        <w:jc w:val="both"/>
        <w:rPr>
          <w:rFonts w:ascii="Arial" w:hAnsi="Arial" w:cs="Arial"/>
          <w:sz w:val="24"/>
          <w:szCs w:val="24"/>
        </w:rPr>
      </w:pPr>
      <w:r w:rsidRPr="00EF390B">
        <w:rPr>
          <w:rFonts w:ascii="Arial" w:hAnsi="Arial" w:cs="Arial"/>
          <w:sz w:val="24"/>
          <w:szCs w:val="24"/>
        </w:rPr>
        <w:lastRenderedPageBreak/>
        <w:t>Se utilizaron métodos teóricos y empíricos, así como el estadístico</w:t>
      </w:r>
      <w:r w:rsidR="00D67FA1" w:rsidRPr="00EF390B">
        <w:rPr>
          <w:rFonts w:ascii="Arial" w:hAnsi="Arial" w:cs="Arial"/>
          <w:sz w:val="24"/>
          <w:szCs w:val="24"/>
        </w:rPr>
        <w:t xml:space="preserve">, dentro de ellos se empleó </w:t>
      </w:r>
      <w:r w:rsidR="003F6726" w:rsidRPr="00EF390B">
        <w:rPr>
          <w:rFonts w:ascii="Arial" w:hAnsi="Arial" w:cs="Arial"/>
          <w:sz w:val="24"/>
          <w:szCs w:val="24"/>
        </w:rPr>
        <w:t>el análisis</w:t>
      </w:r>
      <w:r w:rsidRPr="00EF390B">
        <w:rPr>
          <w:rFonts w:ascii="Arial" w:hAnsi="Arial" w:cs="Arial"/>
          <w:sz w:val="24"/>
          <w:szCs w:val="24"/>
        </w:rPr>
        <w:t xml:space="preserve"> y síntesis de la bibliografía</w:t>
      </w:r>
      <w:r w:rsidR="00D67FA1" w:rsidRPr="00EF390B">
        <w:rPr>
          <w:rFonts w:ascii="Arial" w:hAnsi="Arial" w:cs="Arial"/>
          <w:sz w:val="24"/>
          <w:szCs w:val="24"/>
        </w:rPr>
        <w:t xml:space="preserve"> consultada y la</w:t>
      </w:r>
      <w:r w:rsidRPr="00EF390B">
        <w:rPr>
          <w:rFonts w:ascii="Arial" w:hAnsi="Arial" w:cs="Arial"/>
          <w:sz w:val="24"/>
          <w:szCs w:val="24"/>
        </w:rPr>
        <w:t xml:space="preserve"> revisión </w:t>
      </w:r>
      <w:r w:rsidR="003F6726" w:rsidRPr="00EF390B">
        <w:rPr>
          <w:rFonts w:ascii="Arial" w:hAnsi="Arial" w:cs="Arial"/>
          <w:sz w:val="24"/>
          <w:szCs w:val="24"/>
        </w:rPr>
        <w:t>documental</w:t>
      </w:r>
      <w:r w:rsidR="00306637" w:rsidRPr="00EF390B">
        <w:rPr>
          <w:rFonts w:ascii="Arial" w:hAnsi="Arial" w:cs="Arial"/>
          <w:sz w:val="24"/>
          <w:szCs w:val="24"/>
        </w:rPr>
        <w:t xml:space="preserve">, en particular los informes de </w:t>
      </w:r>
      <w:r w:rsidR="00EF390B" w:rsidRPr="00EF390B">
        <w:rPr>
          <w:rFonts w:ascii="Arial" w:hAnsi="Arial" w:cs="Arial"/>
          <w:sz w:val="24"/>
          <w:szCs w:val="24"/>
        </w:rPr>
        <w:t>autoevaluación. Los</w:t>
      </w:r>
      <w:r w:rsidR="003F6726" w:rsidRPr="00EF390B">
        <w:rPr>
          <w:rFonts w:ascii="Arial" w:hAnsi="Arial" w:cs="Arial"/>
          <w:sz w:val="24"/>
          <w:szCs w:val="24"/>
        </w:rPr>
        <w:t xml:space="preserve"> datos referentes a profesores se obtuvieron del departamento de cuadros contenidos en las bases de datos del sistema automatizado de gestión de cuadros (SAGECU), otros datos fueron obtenidos del departamento de investigaciones del Vicedecanato Académico de la </w:t>
      </w:r>
      <w:r w:rsidR="00CD48B1" w:rsidRPr="00EF390B">
        <w:rPr>
          <w:rFonts w:ascii="Arial" w:hAnsi="Arial" w:cs="Arial"/>
          <w:sz w:val="24"/>
          <w:szCs w:val="24"/>
        </w:rPr>
        <w:t>institución. Se</w:t>
      </w:r>
      <w:r w:rsidR="003F6726" w:rsidRPr="00EF390B">
        <w:rPr>
          <w:rFonts w:ascii="Arial" w:hAnsi="Arial" w:cs="Arial"/>
          <w:sz w:val="24"/>
          <w:szCs w:val="24"/>
        </w:rPr>
        <w:t xml:space="preserve"> realizó el procesamiento y análisis de la </w:t>
      </w:r>
      <w:r w:rsidR="001156E5" w:rsidRPr="00EF390B">
        <w:rPr>
          <w:rFonts w:ascii="Arial" w:hAnsi="Arial" w:cs="Arial"/>
          <w:sz w:val="24"/>
          <w:szCs w:val="24"/>
        </w:rPr>
        <w:t>información, se</w:t>
      </w:r>
      <w:r w:rsidR="00CD48B1" w:rsidRPr="00EF390B">
        <w:rPr>
          <w:rFonts w:ascii="Arial" w:hAnsi="Arial" w:cs="Arial"/>
          <w:sz w:val="24"/>
          <w:szCs w:val="24"/>
        </w:rPr>
        <w:t xml:space="preserve"> utilizaron </w:t>
      </w:r>
      <w:r w:rsidR="003F6726" w:rsidRPr="00EF390B">
        <w:rPr>
          <w:rFonts w:ascii="Arial" w:hAnsi="Arial" w:cs="Arial"/>
          <w:sz w:val="24"/>
          <w:szCs w:val="24"/>
        </w:rPr>
        <w:t>porcentajes y promedios</w:t>
      </w:r>
      <w:r w:rsidR="00CD48B1" w:rsidRPr="00EF390B">
        <w:rPr>
          <w:rFonts w:ascii="Arial" w:hAnsi="Arial" w:cs="Arial"/>
          <w:sz w:val="24"/>
          <w:szCs w:val="24"/>
        </w:rPr>
        <w:t xml:space="preserve"> y se presentó en tablas y gráficos para su mejor comprensión.  teniendo en cuenta los aspectos éticos correspondientes.</w:t>
      </w:r>
    </w:p>
    <w:p w:rsidR="00874841" w:rsidRPr="00EF390B" w:rsidRDefault="0019691D" w:rsidP="00325977">
      <w:pPr>
        <w:spacing w:after="0" w:line="240" w:lineRule="auto"/>
        <w:jc w:val="both"/>
        <w:rPr>
          <w:rFonts w:ascii="Arial" w:hAnsi="Arial" w:cs="Arial"/>
          <w:i/>
          <w:sz w:val="24"/>
          <w:szCs w:val="24"/>
        </w:rPr>
      </w:pPr>
      <w:r>
        <w:rPr>
          <w:rFonts w:ascii="Arial" w:hAnsi="Arial" w:cs="Arial"/>
          <w:i/>
          <w:sz w:val="24"/>
          <w:szCs w:val="24"/>
        </w:rPr>
        <w:t>Resultados</w:t>
      </w:r>
    </w:p>
    <w:p w:rsidR="009429D2" w:rsidRPr="007C21B7" w:rsidRDefault="001C5198" w:rsidP="00325977">
      <w:pPr>
        <w:tabs>
          <w:tab w:val="left" w:pos="2480"/>
        </w:tabs>
        <w:spacing w:after="0" w:line="240" w:lineRule="auto"/>
        <w:jc w:val="both"/>
        <w:rPr>
          <w:rFonts w:ascii="Arial" w:hAnsi="Arial" w:cs="Arial"/>
          <w:sz w:val="28"/>
          <w:szCs w:val="24"/>
        </w:rPr>
      </w:pPr>
      <w:r w:rsidRPr="00160319">
        <w:rPr>
          <w:rFonts w:ascii="Arial" w:hAnsi="Arial" w:cs="Arial"/>
          <w:sz w:val="24"/>
          <w:szCs w:val="24"/>
        </w:rPr>
        <w:t>Como se muestra en la figura 1 las edades predomina</w:t>
      </w:r>
      <w:r w:rsidR="00E376F3" w:rsidRPr="00160319">
        <w:rPr>
          <w:rFonts w:ascii="Arial" w:hAnsi="Arial" w:cs="Arial"/>
          <w:sz w:val="24"/>
          <w:szCs w:val="24"/>
        </w:rPr>
        <w:t>ntes en el claustro de profesores</w:t>
      </w:r>
      <w:r w:rsidRPr="00160319">
        <w:rPr>
          <w:rFonts w:ascii="Arial" w:hAnsi="Arial" w:cs="Arial"/>
          <w:sz w:val="24"/>
          <w:szCs w:val="24"/>
        </w:rPr>
        <w:t xml:space="preserve"> estuvieron en el grupo de 46</w:t>
      </w:r>
      <w:r w:rsidR="00563376" w:rsidRPr="00160319">
        <w:rPr>
          <w:rFonts w:ascii="Arial" w:hAnsi="Arial" w:cs="Arial"/>
          <w:sz w:val="24"/>
          <w:szCs w:val="24"/>
        </w:rPr>
        <w:t xml:space="preserve"> - 55 años en ambos años con 30, 7 % y 36,</w:t>
      </w:r>
      <w:r w:rsidRPr="00160319">
        <w:rPr>
          <w:rFonts w:ascii="Arial" w:hAnsi="Arial" w:cs="Arial"/>
          <w:sz w:val="24"/>
          <w:szCs w:val="24"/>
        </w:rPr>
        <w:t xml:space="preserve">1% respectivamente. </w:t>
      </w:r>
      <w:r w:rsidR="00E376F3" w:rsidRPr="00160319">
        <w:rPr>
          <w:rFonts w:ascii="Arial" w:hAnsi="Arial" w:cs="Arial"/>
          <w:sz w:val="24"/>
          <w:szCs w:val="24"/>
        </w:rPr>
        <w:t xml:space="preserve">Se aprecia </w:t>
      </w:r>
      <w:r w:rsidRPr="00160319">
        <w:rPr>
          <w:rFonts w:ascii="Arial" w:hAnsi="Arial" w:cs="Arial"/>
          <w:sz w:val="24"/>
          <w:szCs w:val="24"/>
        </w:rPr>
        <w:t>la reducción del grupo de profesores que tiene más de 55 años</w:t>
      </w:r>
      <w:r w:rsidR="00EF7B36" w:rsidRPr="00160319">
        <w:rPr>
          <w:rFonts w:ascii="Arial" w:hAnsi="Arial" w:cs="Arial"/>
          <w:sz w:val="24"/>
          <w:szCs w:val="24"/>
        </w:rPr>
        <w:t>,</w:t>
      </w:r>
      <w:r w:rsidRPr="00160319">
        <w:rPr>
          <w:rFonts w:ascii="Arial" w:hAnsi="Arial" w:cs="Arial"/>
          <w:sz w:val="24"/>
          <w:szCs w:val="24"/>
        </w:rPr>
        <w:t xml:space="preserve"> lo cual, a criterio de l</w:t>
      </w:r>
      <w:r w:rsidR="00DF0C14" w:rsidRPr="00160319">
        <w:rPr>
          <w:rFonts w:ascii="Arial" w:hAnsi="Arial" w:cs="Arial"/>
          <w:sz w:val="24"/>
          <w:szCs w:val="24"/>
        </w:rPr>
        <w:t>os</w:t>
      </w:r>
      <w:r w:rsidRPr="00160319">
        <w:rPr>
          <w:rFonts w:ascii="Arial" w:hAnsi="Arial" w:cs="Arial"/>
          <w:sz w:val="24"/>
          <w:szCs w:val="24"/>
        </w:rPr>
        <w:t xml:space="preserve"> autor</w:t>
      </w:r>
      <w:r w:rsidR="00DF0C14" w:rsidRPr="00160319">
        <w:rPr>
          <w:rFonts w:ascii="Arial" w:hAnsi="Arial" w:cs="Arial"/>
          <w:sz w:val="24"/>
          <w:szCs w:val="24"/>
        </w:rPr>
        <w:t>es</w:t>
      </w:r>
      <w:r w:rsidRPr="00160319">
        <w:rPr>
          <w:rFonts w:ascii="Arial" w:hAnsi="Arial" w:cs="Arial"/>
          <w:sz w:val="24"/>
          <w:szCs w:val="24"/>
        </w:rPr>
        <w:t>, se debe a que muchos</w:t>
      </w:r>
      <w:r w:rsidR="00E376F3" w:rsidRPr="00160319">
        <w:rPr>
          <w:rFonts w:ascii="Arial" w:hAnsi="Arial" w:cs="Arial"/>
          <w:sz w:val="24"/>
          <w:szCs w:val="24"/>
        </w:rPr>
        <w:t xml:space="preserve"> entraron en edad de </w:t>
      </w:r>
      <w:r w:rsidR="00160319" w:rsidRPr="00160319">
        <w:rPr>
          <w:rFonts w:ascii="Arial" w:hAnsi="Arial" w:cs="Arial"/>
          <w:sz w:val="24"/>
          <w:szCs w:val="24"/>
        </w:rPr>
        <w:t xml:space="preserve">jubilación. </w:t>
      </w:r>
      <w:r w:rsidR="007C21B7">
        <w:rPr>
          <w:rFonts w:ascii="Arial" w:hAnsi="Arial" w:cs="Arial"/>
          <w:sz w:val="24"/>
          <w:szCs w:val="24"/>
        </w:rPr>
        <w:t xml:space="preserve">No obstante, la Facultad de Estomatología cuenta con un número de profesores consultantes </w:t>
      </w:r>
      <w:r w:rsidR="007C21B7" w:rsidRPr="007C21B7">
        <w:rPr>
          <w:rFonts w:ascii="Arial" w:hAnsi="Arial" w:cs="Arial"/>
          <w:sz w:val="24"/>
        </w:rPr>
        <w:t xml:space="preserve">que participan en todos los procesos </w:t>
      </w:r>
      <w:r w:rsidR="007C21B7">
        <w:rPr>
          <w:rFonts w:ascii="Arial" w:hAnsi="Arial" w:cs="Arial"/>
          <w:sz w:val="24"/>
        </w:rPr>
        <w:t>universitarios, prestigiando su claustro</w:t>
      </w:r>
      <w:r w:rsidR="007C21B7" w:rsidRPr="007C21B7">
        <w:rPr>
          <w:rFonts w:ascii="Arial" w:hAnsi="Arial" w:cs="Arial"/>
          <w:sz w:val="24"/>
        </w:rPr>
        <w:t>.</w:t>
      </w:r>
    </w:p>
    <w:p w:rsidR="00755390" w:rsidRPr="00755390" w:rsidRDefault="00A117E0" w:rsidP="00325977">
      <w:pPr>
        <w:spacing w:after="0" w:line="240" w:lineRule="auto"/>
        <w:jc w:val="both"/>
        <w:rPr>
          <w:rFonts w:ascii="Arial" w:hAnsi="Arial" w:cs="Arial"/>
          <w:sz w:val="24"/>
          <w:szCs w:val="24"/>
        </w:rPr>
      </w:pPr>
      <w:r w:rsidRPr="00755390">
        <w:rPr>
          <w:rFonts w:ascii="Arial" w:hAnsi="Arial" w:cs="Arial"/>
          <w:sz w:val="24"/>
          <w:szCs w:val="24"/>
        </w:rPr>
        <w:t xml:space="preserve">Como se presenta en la figura 2 existe predominio del sexo femenino en los claustros </w:t>
      </w:r>
      <w:r w:rsidR="00563376" w:rsidRPr="00755390">
        <w:rPr>
          <w:rFonts w:ascii="Arial" w:hAnsi="Arial" w:cs="Arial"/>
          <w:sz w:val="24"/>
          <w:szCs w:val="24"/>
        </w:rPr>
        <w:t>de ambos años con 72,56 y 84,</w:t>
      </w:r>
      <w:r w:rsidRPr="00755390">
        <w:rPr>
          <w:rFonts w:ascii="Arial" w:hAnsi="Arial" w:cs="Arial"/>
          <w:sz w:val="24"/>
          <w:szCs w:val="24"/>
        </w:rPr>
        <w:t>84 % respectivamente, siendo considerablemente mayor en el 2018.</w:t>
      </w:r>
      <w:r w:rsidR="00755390">
        <w:rPr>
          <w:rFonts w:ascii="Arial" w:hAnsi="Arial" w:cs="Arial"/>
          <w:sz w:val="24"/>
          <w:szCs w:val="24"/>
        </w:rPr>
        <w:t xml:space="preserve">Con relación </w:t>
      </w:r>
      <w:r w:rsidR="00755390" w:rsidRPr="00755390">
        <w:rPr>
          <w:rFonts w:ascii="Arial" w:hAnsi="Arial" w:cs="Arial"/>
          <w:sz w:val="24"/>
          <w:szCs w:val="24"/>
        </w:rPr>
        <w:t xml:space="preserve">al predominio del sexo femenino </w:t>
      </w:r>
      <w:r w:rsidR="00755390">
        <w:rPr>
          <w:rFonts w:ascii="Arial" w:hAnsi="Arial" w:cs="Arial"/>
          <w:sz w:val="24"/>
          <w:szCs w:val="24"/>
        </w:rPr>
        <w:t xml:space="preserve">estos resultados </w:t>
      </w:r>
      <w:r w:rsidR="00755390" w:rsidRPr="00755390">
        <w:rPr>
          <w:rFonts w:ascii="Arial" w:hAnsi="Arial" w:cs="Arial"/>
          <w:sz w:val="24"/>
          <w:szCs w:val="24"/>
        </w:rPr>
        <w:t>se corresponden con la estructura por sexo de la fuerza laboral que trabaja en el Sist</w:t>
      </w:r>
      <w:r w:rsidR="00755390">
        <w:rPr>
          <w:rFonts w:ascii="Arial" w:hAnsi="Arial" w:cs="Arial"/>
          <w:sz w:val="24"/>
          <w:szCs w:val="24"/>
        </w:rPr>
        <w:t>ema Nacional de Salud, donde al cierre de 2017</w:t>
      </w:r>
      <w:r w:rsidR="0019691D">
        <w:rPr>
          <w:rFonts w:ascii="Arial" w:hAnsi="Arial" w:cs="Arial"/>
          <w:sz w:val="24"/>
          <w:szCs w:val="24"/>
        </w:rPr>
        <w:t>,</w:t>
      </w:r>
      <w:r w:rsidR="00755390">
        <w:rPr>
          <w:rFonts w:ascii="Arial" w:hAnsi="Arial" w:cs="Arial"/>
          <w:sz w:val="24"/>
          <w:szCs w:val="24"/>
        </w:rPr>
        <w:t xml:space="preserve"> el 71,0% </w:t>
      </w:r>
      <w:r w:rsidR="00755390" w:rsidRPr="00755390">
        <w:rPr>
          <w:rFonts w:ascii="Arial" w:hAnsi="Arial" w:cs="Arial"/>
          <w:sz w:val="24"/>
          <w:szCs w:val="24"/>
        </w:rPr>
        <w:t xml:space="preserve">% de los trabajadores </w:t>
      </w:r>
      <w:r w:rsidR="001955E9">
        <w:rPr>
          <w:rFonts w:ascii="Arial" w:hAnsi="Arial" w:cs="Arial"/>
          <w:sz w:val="24"/>
          <w:szCs w:val="24"/>
        </w:rPr>
        <w:t>eran</w:t>
      </w:r>
      <w:r w:rsidR="00755390" w:rsidRPr="00755390">
        <w:rPr>
          <w:rFonts w:ascii="Arial" w:hAnsi="Arial" w:cs="Arial"/>
          <w:sz w:val="24"/>
          <w:szCs w:val="24"/>
        </w:rPr>
        <w:t xml:space="preserve"> mujeres.</w:t>
      </w:r>
      <w:r w:rsidR="0071247F">
        <w:rPr>
          <w:rFonts w:ascii="Arial" w:hAnsi="Arial" w:cs="Arial"/>
          <w:sz w:val="24"/>
          <w:szCs w:val="24"/>
        </w:rPr>
        <w:t>(MINSAP, 2017)</w:t>
      </w:r>
    </w:p>
    <w:p w:rsidR="00A117E0" w:rsidRDefault="00A117E0" w:rsidP="00325977">
      <w:pPr>
        <w:spacing w:after="0" w:line="240" w:lineRule="auto"/>
        <w:jc w:val="both"/>
        <w:rPr>
          <w:rFonts w:ascii="Arial" w:hAnsi="Arial" w:cs="Arial"/>
          <w:sz w:val="24"/>
          <w:szCs w:val="24"/>
        </w:rPr>
      </w:pPr>
      <w:r w:rsidRPr="00EF390B">
        <w:rPr>
          <w:rFonts w:ascii="Arial" w:hAnsi="Arial" w:cs="Arial"/>
          <w:sz w:val="24"/>
          <w:szCs w:val="24"/>
        </w:rPr>
        <w:t>Al analizar el comportamiento de la pirámide docente en ambos años (figura3) se observa que el mayor número de profesores</w:t>
      </w:r>
      <w:r w:rsidR="00DF0C14">
        <w:rPr>
          <w:rFonts w:ascii="Arial" w:hAnsi="Arial" w:cs="Arial"/>
          <w:sz w:val="24"/>
          <w:szCs w:val="24"/>
        </w:rPr>
        <w:t>,</w:t>
      </w:r>
      <w:r w:rsidRPr="00EF390B">
        <w:rPr>
          <w:rFonts w:ascii="Arial" w:hAnsi="Arial" w:cs="Arial"/>
          <w:sz w:val="24"/>
          <w:szCs w:val="24"/>
        </w:rPr>
        <w:t xml:space="preserve"> ostentan la categ</w:t>
      </w:r>
      <w:r w:rsidR="00563376" w:rsidRPr="00EF390B">
        <w:rPr>
          <w:rFonts w:ascii="Arial" w:hAnsi="Arial" w:cs="Arial"/>
          <w:sz w:val="24"/>
          <w:szCs w:val="24"/>
        </w:rPr>
        <w:t>oría docente de auxiliar con 44,69 y 49,</w:t>
      </w:r>
      <w:r w:rsidRPr="00EF390B">
        <w:rPr>
          <w:rFonts w:ascii="Arial" w:hAnsi="Arial" w:cs="Arial"/>
          <w:sz w:val="24"/>
          <w:szCs w:val="24"/>
        </w:rPr>
        <w:t>53%</w:t>
      </w:r>
      <w:r w:rsidR="00A46753">
        <w:rPr>
          <w:rFonts w:ascii="Arial" w:hAnsi="Arial" w:cs="Arial"/>
          <w:sz w:val="24"/>
          <w:szCs w:val="24"/>
        </w:rPr>
        <w:t xml:space="preserve">respectivamente, </w:t>
      </w:r>
      <w:r w:rsidR="00A239CB" w:rsidRPr="00EF390B">
        <w:rPr>
          <w:rFonts w:ascii="Arial" w:hAnsi="Arial" w:cs="Arial"/>
          <w:sz w:val="24"/>
          <w:szCs w:val="24"/>
        </w:rPr>
        <w:t>incrementándose en el último año. Se destaca un mayor porciento de profesores titulares</w:t>
      </w:r>
      <w:r w:rsidR="00563376" w:rsidRPr="00EF390B">
        <w:rPr>
          <w:rFonts w:ascii="Arial" w:hAnsi="Arial" w:cs="Arial"/>
          <w:sz w:val="24"/>
          <w:szCs w:val="24"/>
        </w:rPr>
        <w:t xml:space="preserve"> y auxiliares en el 2018 con 58,87% con respecto a 56,</w:t>
      </w:r>
      <w:r w:rsidR="00A239CB" w:rsidRPr="00EF390B">
        <w:rPr>
          <w:rFonts w:ascii="Arial" w:hAnsi="Arial" w:cs="Arial"/>
          <w:sz w:val="24"/>
          <w:szCs w:val="24"/>
        </w:rPr>
        <w:t>46</w:t>
      </w:r>
      <w:r w:rsidR="00A46753">
        <w:rPr>
          <w:rFonts w:ascii="Arial" w:hAnsi="Arial" w:cs="Arial"/>
          <w:sz w:val="24"/>
          <w:szCs w:val="24"/>
        </w:rPr>
        <w:t xml:space="preserve">% en 2013. Se destaca que </w:t>
      </w:r>
      <w:r w:rsidR="00EF7B36" w:rsidRPr="00EF390B">
        <w:rPr>
          <w:rFonts w:ascii="Arial" w:hAnsi="Arial" w:cs="Arial"/>
          <w:sz w:val="24"/>
          <w:szCs w:val="24"/>
        </w:rPr>
        <w:t>todos los colectivo</w:t>
      </w:r>
      <w:r w:rsidR="00A46753">
        <w:rPr>
          <w:rFonts w:ascii="Arial" w:hAnsi="Arial" w:cs="Arial"/>
          <w:sz w:val="24"/>
          <w:szCs w:val="24"/>
        </w:rPr>
        <w:t xml:space="preserve">s pedagógicos de la institución estuvieron dirigidos por profesores titulares y auxiliares a tenor con la resolución 2 de 2018 del MES. </w:t>
      </w:r>
      <w:r w:rsidR="00AD19AB">
        <w:rPr>
          <w:rFonts w:ascii="Arial" w:hAnsi="Arial" w:cs="Arial"/>
          <w:sz w:val="24"/>
          <w:szCs w:val="24"/>
        </w:rPr>
        <w:t>(MES</w:t>
      </w:r>
      <w:r w:rsidR="00A46753">
        <w:rPr>
          <w:rFonts w:ascii="Arial" w:hAnsi="Arial" w:cs="Arial"/>
          <w:sz w:val="24"/>
          <w:szCs w:val="24"/>
        </w:rPr>
        <w:t>, 2018)</w:t>
      </w:r>
    </w:p>
    <w:p w:rsidR="008656C3" w:rsidRDefault="00231537" w:rsidP="00B4428D">
      <w:pPr>
        <w:spacing w:after="0" w:line="240" w:lineRule="auto"/>
        <w:jc w:val="both"/>
        <w:rPr>
          <w:rFonts w:ascii="Arial" w:hAnsi="Arial" w:cs="Arial"/>
          <w:sz w:val="24"/>
          <w:szCs w:val="24"/>
        </w:rPr>
      </w:pPr>
      <w:r w:rsidRPr="000749F5">
        <w:rPr>
          <w:rFonts w:ascii="Arial" w:hAnsi="Arial" w:cs="Arial"/>
          <w:sz w:val="24"/>
          <w:szCs w:val="24"/>
        </w:rPr>
        <w:t>Con relación a las categorías investigativas es ostensible el incremento de profesores que obtuvieron alguna categoría investiga</w:t>
      </w:r>
      <w:r w:rsidR="00987AD6">
        <w:rPr>
          <w:rFonts w:ascii="Arial" w:hAnsi="Arial" w:cs="Arial"/>
          <w:sz w:val="24"/>
          <w:szCs w:val="24"/>
        </w:rPr>
        <w:t>tiva en el quinquenio 2013-2018.</w:t>
      </w:r>
      <w:r w:rsidRPr="000749F5">
        <w:rPr>
          <w:rFonts w:ascii="Arial" w:hAnsi="Arial" w:cs="Arial"/>
          <w:sz w:val="24"/>
          <w:szCs w:val="24"/>
        </w:rPr>
        <w:t xml:space="preserve"> (figura 4) </w:t>
      </w:r>
      <w:r w:rsidR="00987AD6">
        <w:rPr>
          <w:rFonts w:ascii="Arial" w:hAnsi="Arial" w:cs="Arial"/>
          <w:sz w:val="24"/>
          <w:szCs w:val="24"/>
        </w:rPr>
        <w:t>E</w:t>
      </w:r>
      <w:r w:rsidRPr="000749F5">
        <w:rPr>
          <w:rFonts w:ascii="Arial" w:hAnsi="Arial" w:cs="Arial"/>
          <w:sz w:val="24"/>
          <w:szCs w:val="24"/>
        </w:rPr>
        <w:t xml:space="preserve">n 2013 había 36 profesores con categorías investigativas y en el </w:t>
      </w:r>
      <w:r w:rsidR="00D077B6" w:rsidRPr="000749F5">
        <w:rPr>
          <w:rFonts w:ascii="Arial" w:hAnsi="Arial" w:cs="Arial"/>
          <w:sz w:val="24"/>
          <w:szCs w:val="24"/>
        </w:rPr>
        <w:t>2018, 47</w:t>
      </w:r>
      <w:r w:rsidRPr="000749F5">
        <w:rPr>
          <w:rFonts w:ascii="Arial" w:hAnsi="Arial" w:cs="Arial"/>
          <w:sz w:val="24"/>
          <w:szCs w:val="24"/>
        </w:rPr>
        <w:t>, siendo las categorías más representativas la de investigador auxiliar y agregado con un incremento de 12 a 14 y de 15 a 24 en ambos años comparativamente.</w:t>
      </w:r>
    </w:p>
    <w:p w:rsidR="005C1033" w:rsidRDefault="00D077B6" w:rsidP="00B4428D">
      <w:pPr>
        <w:spacing w:after="0" w:line="240" w:lineRule="auto"/>
        <w:jc w:val="both"/>
        <w:rPr>
          <w:rFonts w:ascii="Arial" w:hAnsi="Arial" w:cs="Arial"/>
          <w:sz w:val="24"/>
          <w:szCs w:val="24"/>
        </w:rPr>
      </w:pPr>
      <w:r w:rsidRPr="00EF390B">
        <w:rPr>
          <w:rFonts w:ascii="Arial" w:hAnsi="Arial" w:cs="Arial"/>
          <w:sz w:val="24"/>
          <w:szCs w:val="24"/>
        </w:rPr>
        <w:t>Para los efectos del S</w:t>
      </w:r>
      <w:r w:rsidR="004945A3" w:rsidRPr="00EF390B">
        <w:rPr>
          <w:rFonts w:ascii="Arial" w:hAnsi="Arial" w:cs="Arial"/>
          <w:sz w:val="24"/>
          <w:szCs w:val="24"/>
        </w:rPr>
        <w:t xml:space="preserve">EA-CU (MES, </w:t>
      </w:r>
      <w:r w:rsidR="00D91142" w:rsidRPr="00EF390B">
        <w:rPr>
          <w:rFonts w:ascii="Arial" w:hAnsi="Arial" w:cs="Arial"/>
          <w:sz w:val="24"/>
          <w:szCs w:val="24"/>
        </w:rPr>
        <w:t xml:space="preserve">2014) </w:t>
      </w:r>
      <w:r w:rsidR="005C1033" w:rsidRPr="005C1033">
        <w:rPr>
          <w:rFonts w:ascii="Arial" w:hAnsi="Arial" w:cs="Arial"/>
          <w:sz w:val="24"/>
        </w:rPr>
        <w:t>se considera equivalente al grado de Doctor, el Especialista   de   Segundo   Grado   de   Ciencias Médicas.   De   igual modo, se   considera equivalente el título de Master al de Especialista de Primer Grado</w:t>
      </w:r>
      <w:r w:rsidRPr="00EF390B">
        <w:rPr>
          <w:rFonts w:ascii="Arial" w:hAnsi="Arial" w:cs="Arial"/>
          <w:sz w:val="24"/>
          <w:szCs w:val="24"/>
        </w:rPr>
        <w:t>. En la figura 4 se exhiben los resultados de los últimos cinco años con relación a este indicador, se puede observar que hay un incremento de ambos en 2018 con 49, 53 y 86, 11 %</w:t>
      </w:r>
      <w:r w:rsidR="00DF0C14">
        <w:rPr>
          <w:rFonts w:ascii="Arial" w:hAnsi="Arial" w:cs="Arial"/>
          <w:sz w:val="24"/>
          <w:szCs w:val="24"/>
        </w:rPr>
        <w:t>,</w:t>
      </w:r>
      <w:r w:rsidRPr="00EF390B">
        <w:rPr>
          <w:rFonts w:ascii="Arial" w:hAnsi="Arial" w:cs="Arial"/>
          <w:sz w:val="24"/>
          <w:szCs w:val="24"/>
        </w:rPr>
        <w:t xml:space="preserve"> en amb</w:t>
      </w:r>
      <w:r w:rsidR="00563376" w:rsidRPr="00EF390B">
        <w:rPr>
          <w:rFonts w:ascii="Arial" w:hAnsi="Arial" w:cs="Arial"/>
          <w:sz w:val="24"/>
          <w:szCs w:val="24"/>
        </w:rPr>
        <w:t>as categorías</w:t>
      </w:r>
      <w:r w:rsidR="00DF0C14">
        <w:rPr>
          <w:rFonts w:ascii="Arial" w:hAnsi="Arial" w:cs="Arial"/>
          <w:sz w:val="24"/>
          <w:szCs w:val="24"/>
        </w:rPr>
        <w:t>,</w:t>
      </w:r>
      <w:r w:rsidR="00563376" w:rsidRPr="00EF390B">
        <w:rPr>
          <w:rFonts w:ascii="Arial" w:hAnsi="Arial" w:cs="Arial"/>
          <w:sz w:val="24"/>
          <w:szCs w:val="24"/>
        </w:rPr>
        <w:t xml:space="preserve"> con respecto a 48, 23 y 79,</w:t>
      </w:r>
      <w:r w:rsidRPr="00EF390B">
        <w:rPr>
          <w:rFonts w:ascii="Arial" w:hAnsi="Arial" w:cs="Arial"/>
          <w:sz w:val="24"/>
          <w:szCs w:val="24"/>
        </w:rPr>
        <w:t>48 % en 2013.</w:t>
      </w:r>
    </w:p>
    <w:p w:rsidR="005C1033" w:rsidRPr="00674391" w:rsidRDefault="005C1033" w:rsidP="005C1033">
      <w:pPr>
        <w:autoSpaceDE w:val="0"/>
        <w:autoSpaceDN w:val="0"/>
        <w:adjustRightInd w:val="0"/>
        <w:spacing w:after="0" w:line="240" w:lineRule="auto"/>
        <w:jc w:val="both"/>
        <w:rPr>
          <w:rFonts w:ascii="Arial" w:hAnsi="Arial" w:cs="Arial"/>
          <w:sz w:val="24"/>
          <w:szCs w:val="20"/>
        </w:rPr>
      </w:pPr>
      <w:r>
        <w:rPr>
          <w:rFonts w:ascii="Arial" w:hAnsi="Arial" w:cs="Arial"/>
          <w:sz w:val="24"/>
          <w:szCs w:val="20"/>
        </w:rPr>
        <w:t xml:space="preserve">En 2004 se </w:t>
      </w:r>
      <w:r w:rsidRPr="00674391">
        <w:rPr>
          <w:rFonts w:ascii="Arial" w:hAnsi="Arial" w:cs="Arial"/>
          <w:sz w:val="24"/>
          <w:szCs w:val="20"/>
        </w:rPr>
        <w:t>constitu</w:t>
      </w:r>
      <w:r>
        <w:rPr>
          <w:rFonts w:ascii="Arial" w:hAnsi="Arial" w:cs="Arial"/>
          <w:sz w:val="24"/>
          <w:szCs w:val="20"/>
        </w:rPr>
        <w:t>yó</w:t>
      </w:r>
      <w:r w:rsidRPr="00674391">
        <w:rPr>
          <w:rFonts w:ascii="Arial" w:hAnsi="Arial" w:cs="Arial"/>
          <w:sz w:val="24"/>
          <w:szCs w:val="20"/>
        </w:rPr>
        <w:t xml:space="preserve"> la Comisión de Grados Científicos de Estomatología y </w:t>
      </w:r>
      <w:r w:rsidR="00C163E8">
        <w:rPr>
          <w:rFonts w:ascii="Arial" w:hAnsi="Arial" w:cs="Arial"/>
          <w:sz w:val="24"/>
          <w:szCs w:val="20"/>
        </w:rPr>
        <w:t xml:space="preserve">en 2007 </w:t>
      </w:r>
      <w:r w:rsidRPr="00674391">
        <w:rPr>
          <w:rFonts w:ascii="Arial" w:hAnsi="Arial" w:cs="Arial"/>
          <w:sz w:val="24"/>
          <w:szCs w:val="20"/>
        </w:rPr>
        <w:t xml:space="preserve">la aprobación del doctorado en Ciencias Estomatológicas </w:t>
      </w:r>
      <w:r w:rsidR="00C163E8">
        <w:rPr>
          <w:rFonts w:ascii="Arial" w:hAnsi="Arial" w:cs="Arial"/>
          <w:sz w:val="24"/>
          <w:szCs w:val="20"/>
        </w:rPr>
        <w:t>acontecimientos que impulsaron, indiscutiblemente,</w:t>
      </w:r>
      <w:r w:rsidRPr="00674391">
        <w:rPr>
          <w:rFonts w:ascii="Arial" w:hAnsi="Arial" w:cs="Arial"/>
          <w:sz w:val="24"/>
          <w:szCs w:val="20"/>
        </w:rPr>
        <w:t xml:space="preserve"> la formación académica de posgrado para los </w:t>
      </w:r>
      <w:r w:rsidRPr="00674391">
        <w:rPr>
          <w:rFonts w:ascii="Arial" w:hAnsi="Arial" w:cs="Arial"/>
          <w:sz w:val="24"/>
          <w:szCs w:val="20"/>
        </w:rPr>
        <w:lastRenderedPageBreak/>
        <w:t>profesional</w:t>
      </w:r>
      <w:r w:rsidR="00C163E8">
        <w:rPr>
          <w:rFonts w:ascii="Arial" w:hAnsi="Arial" w:cs="Arial"/>
          <w:sz w:val="24"/>
          <w:szCs w:val="20"/>
        </w:rPr>
        <w:t xml:space="preserve">es de la Estomatología en Cuba, en particular el doctorado. </w:t>
      </w:r>
      <w:r w:rsidR="0066207E">
        <w:rPr>
          <w:rFonts w:ascii="Arial" w:hAnsi="Arial" w:cs="Arial"/>
          <w:sz w:val="24"/>
          <w:szCs w:val="20"/>
        </w:rPr>
        <w:t>(Companioni</w:t>
      </w:r>
      <w:r w:rsidR="00B00A22">
        <w:rPr>
          <w:rFonts w:ascii="Arial" w:hAnsi="Arial" w:cs="Arial"/>
          <w:sz w:val="24"/>
          <w:szCs w:val="20"/>
        </w:rPr>
        <w:t>, Barciela, Grau y Hernández</w:t>
      </w:r>
      <w:r w:rsidR="0066207E">
        <w:rPr>
          <w:rFonts w:ascii="Arial" w:hAnsi="Arial" w:cs="Arial"/>
          <w:sz w:val="24"/>
          <w:szCs w:val="20"/>
        </w:rPr>
        <w:t>, 2017)</w:t>
      </w:r>
      <w:r w:rsidR="000C0A35">
        <w:rPr>
          <w:rFonts w:ascii="Arial" w:hAnsi="Arial" w:cs="Arial"/>
          <w:sz w:val="24"/>
          <w:szCs w:val="20"/>
        </w:rPr>
        <w:t xml:space="preserve">. </w:t>
      </w:r>
      <w:r w:rsidR="00C163E8">
        <w:rPr>
          <w:rFonts w:ascii="Arial" w:hAnsi="Arial" w:cs="Arial"/>
          <w:sz w:val="24"/>
          <w:szCs w:val="20"/>
        </w:rPr>
        <w:t>Aunque de manera progresiva se logró incrementar el número de doctores en ciencias en la Facultad, el envejecimiento de su claustro y otros eventos vitales no han permitido superar de manera ostensible el número de ellos.</w:t>
      </w:r>
      <w:r w:rsidR="0066207E">
        <w:rPr>
          <w:rFonts w:ascii="Arial" w:hAnsi="Arial" w:cs="Arial"/>
          <w:sz w:val="24"/>
          <w:szCs w:val="20"/>
        </w:rPr>
        <w:t xml:space="preserve"> No obstante, la estrategia doctoral implementada en la </w:t>
      </w:r>
      <w:r w:rsidR="000C0A35">
        <w:rPr>
          <w:rFonts w:ascii="Arial" w:hAnsi="Arial" w:cs="Arial"/>
          <w:sz w:val="24"/>
          <w:szCs w:val="20"/>
        </w:rPr>
        <w:t>Facultad</w:t>
      </w:r>
      <w:r w:rsidR="0066207E">
        <w:rPr>
          <w:rFonts w:ascii="Arial" w:hAnsi="Arial" w:cs="Arial"/>
          <w:sz w:val="24"/>
          <w:szCs w:val="20"/>
        </w:rPr>
        <w:t xml:space="preserve"> ha servido para dar un impulso decisivo a </w:t>
      </w:r>
      <w:r w:rsidR="000C0A35">
        <w:rPr>
          <w:rFonts w:ascii="Arial" w:hAnsi="Arial" w:cs="Arial"/>
          <w:sz w:val="24"/>
          <w:szCs w:val="20"/>
        </w:rPr>
        <w:t>un</w:t>
      </w:r>
      <w:r w:rsidR="0066207E">
        <w:rPr>
          <w:rFonts w:ascii="Arial" w:hAnsi="Arial" w:cs="Arial"/>
          <w:sz w:val="24"/>
          <w:szCs w:val="20"/>
        </w:rPr>
        <w:t xml:space="preserve"> proceso tan importante para una institución académica. </w:t>
      </w:r>
    </w:p>
    <w:p w:rsidR="00565E4D" w:rsidRDefault="00646EFB" w:rsidP="00C86DBF">
      <w:pPr>
        <w:spacing w:after="0" w:line="240" w:lineRule="auto"/>
        <w:jc w:val="both"/>
        <w:rPr>
          <w:rFonts w:ascii="Arial" w:hAnsi="Arial" w:cs="Arial"/>
          <w:sz w:val="24"/>
          <w:szCs w:val="24"/>
        </w:rPr>
      </w:pPr>
      <w:r w:rsidRPr="00EF390B">
        <w:rPr>
          <w:rFonts w:ascii="Arial" w:hAnsi="Arial" w:cs="Arial"/>
          <w:sz w:val="24"/>
          <w:szCs w:val="24"/>
        </w:rPr>
        <w:t>Al observar el comportamiento del índice de publicaciones promedio por profesores que se presenta en la Tabla 1 se evidencia que no obstante haber un pequeño decrecimiento en el total de publica</w:t>
      </w:r>
      <w:r w:rsidR="00563376" w:rsidRPr="00EF390B">
        <w:rPr>
          <w:rFonts w:ascii="Arial" w:hAnsi="Arial" w:cs="Arial"/>
          <w:sz w:val="24"/>
          <w:szCs w:val="24"/>
        </w:rPr>
        <w:t>ciones promedio por profesor(4,04 en 2013 y 4,</w:t>
      </w:r>
      <w:r w:rsidRPr="00EF390B">
        <w:rPr>
          <w:rFonts w:ascii="Arial" w:hAnsi="Arial" w:cs="Arial"/>
          <w:sz w:val="24"/>
          <w:szCs w:val="24"/>
        </w:rPr>
        <w:t>02 en 2018)</w:t>
      </w:r>
      <w:r w:rsidR="00DF0C14">
        <w:rPr>
          <w:rFonts w:ascii="Arial" w:hAnsi="Arial" w:cs="Arial"/>
          <w:sz w:val="24"/>
          <w:szCs w:val="24"/>
        </w:rPr>
        <w:t xml:space="preserve">, </w:t>
      </w:r>
      <w:r w:rsidRPr="00EF390B">
        <w:rPr>
          <w:rFonts w:ascii="Arial" w:hAnsi="Arial" w:cs="Arial"/>
          <w:sz w:val="24"/>
          <w:szCs w:val="24"/>
        </w:rPr>
        <w:t xml:space="preserve"> en el grupo de publicaciones referencias + textos ha</w:t>
      </w:r>
      <w:r w:rsidR="00563376" w:rsidRPr="00EF390B">
        <w:rPr>
          <w:rFonts w:ascii="Arial" w:hAnsi="Arial" w:cs="Arial"/>
          <w:sz w:val="24"/>
          <w:szCs w:val="24"/>
        </w:rPr>
        <w:t>y un incremento del índice de 3,02 en 2013 a 3,</w:t>
      </w:r>
      <w:r w:rsidRPr="00EF390B">
        <w:rPr>
          <w:rFonts w:ascii="Arial" w:hAnsi="Arial" w:cs="Arial"/>
          <w:sz w:val="24"/>
          <w:szCs w:val="24"/>
        </w:rPr>
        <w:t>83 en 2018, de ellas</w:t>
      </w:r>
      <w:r w:rsidR="00DF0C14">
        <w:rPr>
          <w:rFonts w:ascii="Arial" w:hAnsi="Arial" w:cs="Arial"/>
          <w:sz w:val="24"/>
          <w:szCs w:val="24"/>
        </w:rPr>
        <w:t>,</w:t>
      </w:r>
      <w:r w:rsidRPr="00EF390B">
        <w:rPr>
          <w:rFonts w:ascii="Arial" w:hAnsi="Arial" w:cs="Arial"/>
          <w:sz w:val="24"/>
          <w:szCs w:val="24"/>
        </w:rPr>
        <w:t xml:space="preserve"> en la Web of Science y Bases de Datos internacionales(BDI</w:t>
      </w:r>
      <w:r w:rsidR="00563376" w:rsidRPr="00EF390B">
        <w:rPr>
          <w:rFonts w:ascii="Arial" w:hAnsi="Arial" w:cs="Arial"/>
          <w:sz w:val="24"/>
          <w:szCs w:val="24"/>
        </w:rPr>
        <w:t xml:space="preserve">) también hay un incremento de </w:t>
      </w:r>
      <w:r w:rsidR="00DF0C14">
        <w:rPr>
          <w:rFonts w:ascii="Arial" w:hAnsi="Arial" w:cs="Arial"/>
          <w:sz w:val="24"/>
          <w:szCs w:val="24"/>
        </w:rPr>
        <w:t>1</w:t>
      </w:r>
      <w:r w:rsidR="00563376" w:rsidRPr="00EF390B">
        <w:rPr>
          <w:rFonts w:ascii="Arial" w:hAnsi="Arial" w:cs="Arial"/>
          <w:sz w:val="24"/>
          <w:szCs w:val="24"/>
        </w:rPr>
        <w:t>,</w:t>
      </w:r>
      <w:r w:rsidRPr="00EF390B">
        <w:rPr>
          <w:rFonts w:ascii="Arial" w:hAnsi="Arial" w:cs="Arial"/>
          <w:sz w:val="24"/>
          <w:szCs w:val="24"/>
        </w:rPr>
        <w:t xml:space="preserve">14 en 2013 </w:t>
      </w:r>
      <w:r w:rsidR="00563376" w:rsidRPr="00EF390B">
        <w:rPr>
          <w:rFonts w:ascii="Arial" w:hAnsi="Arial" w:cs="Arial"/>
          <w:sz w:val="24"/>
          <w:szCs w:val="24"/>
        </w:rPr>
        <w:t>a 1,</w:t>
      </w:r>
      <w:r w:rsidRPr="00EF390B">
        <w:rPr>
          <w:rFonts w:ascii="Arial" w:hAnsi="Arial" w:cs="Arial"/>
          <w:sz w:val="24"/>
          <w:szCs w:val="24"/>
        </w:rPr>
        <w:t xml:space="preserve">74 en 2018 lo que indiscutiblemente constituye una fortaleza </w:t>
      </w:r>
      <w:r w:rsidR="00B714DC" w:rsidRPr="00EF390B">
        <w:rPr>
          <w:rFonts w:ascii="Arial" w:hAnsi="Arial" w:cs="Arial"/>
          <w:sz w:val="24"/>
          <w:szCs w:val="24"/>
        </w:rPr>
        <w:t>de</w:t>
      </w:r>
      <w:r w:rsidRPr="00EF390B">
        <w:rPr>
          <w:rFonts w:ascii="Arial" w:hAnsi="Arial" w:cs="Arial"/>
          <w:sz w:val="24"/>
          <w:szCs w:val="24"/>
        </w:rPr>
        <w:t xml:space="preserve"> la variable profesores.</w:t>
      </w:r>
      <w:r w:rsidR="00536556" w:rsidRPr="00EF390B">
        <w:rPr>
          <w:rFonts w:ascii="Arial" w:hAnsi="Arial" w:cs="Arial"/>
          <w:sz w:val="24"/>
          <w:szCs w:val="24"/>
        </w:rPr>
        <w:t xml:space="preserve"> Se destaca el incremento del porciento de profesores con más de 3 publicaciones en el período</w:t>
      </w:r>
      <w:r w:rsidR="00563376" w:rsidRPr="00EF390B">
        <w:rPr>
          <w:rFonts w:ascii="Arial" w:hAnsi="Arial" w:cs="Arial"/>
          <w:sz w:val="24"/>
          <w:szCs w:val="24"/>
        </w:rPr>
        <w:t xml:space="preserve"> analizado de 8</w:t>
      </w:r>
      <w:r w:rsidR="007A4C83">
        <w:rPr>
          <w:rFonts w:ascii="Arial" w:hAnsi="Arial" w:cs="Arial"/>
          <w:sz w:val="24"/>
          <w:szCs w:val="24"/>
        </w:rPr>
        <w:t>3,</w:t>
      </w:r>
      <w:r w:rsidR="00563376" w:rsidRPr="00EF390B">
        <w:rPr>
          <w:rFonts w:ascii="Arial" w:hAnsi="Arial" w:cs="Arial"/>
          <w:sz w:val="24"/>
          <w:szCs w:val="24"/>
        </w:rPr>
        <w:t>63 en 2013 a 9</w:t>
      </w:r>
      <w:r w:rsidR="007A4C83">
        <w:rPr>
          <w:rFonts w:ascii="Arial" w:hAnsi="Arial" w:cs="Arial"/>
          <w:sz w:val="24"/>
          <w:szCs w:val="24"/>
        </w:rPr>
        <w:t>2</w:t>
      </w:r>
      <w:r w:rsidR="00563376" w:rsidRPr="00EF390B">
        <w:rPr>
          <w:rFonts w:ascii="Arial" w:hAnsi="Arial" w:cs="Arial"/>
          <w:sz w:val="24"/>
          <w:szCs w:val="24"/>
        </w:rPr>
        <w:t>,</w:t>
      </w:r>
      <w:r w:rsidR="00C86DBF">
        <w:rPr>
          <w:rFonts w:ascii="Arial" w:hAnsi="Arial" w:cs="Arial"/>
          <w:sz w:val="24"/>
          <w:szCs w:val="24"/>
        </w:rPr>
        <w:t>52% en 2018.</w:t>
      </w:r>
    </w:p>
    <w:p w:rsidR="00C17C1F" w:rsidRDefault="00987AD6" w:rsidP="00C86DBF">
      <w:pPr>
        <w:spacing w:after="0" w:line="240" w:lineRule="auto"/>
        <w:jc w:val="both"/>
        <w:rPr>
          <w:rFonts w:ascii="Arial" w:hAnsi="Arial" w:cs="Arial"/>
          <w:sz w:val="24"/>
          <w:szCs w:val="24"/>
        </w:rPr>
      </w:pPr>
      <w:r>
        <w:rPr>
          <w:rFonts w:ascii="Arial" w:hAnsi="Arial" w:cs="Arial"/>
          <w:sz w:val="24"/>
          <w:szCs w:val="24"/>
        </w:rPr>
        <w:t>L</w:t>
      </w:r>
      <w:r w:rsidR="00C17C1F">
        <w:rPr>
          <w:rFonts w:ascii="Arial" w:hAnsi="Arial" w:cs="Arial"/>
          <w:sz w:val="24"/>
          <w:szCs w:val="24"/>
        </w:rPr>
        <w:t>as publicaciones que están disponibles en acceso abierto pueden ser comprobadas, leídas y medidas por sus propios autores como por otros profesionales, científicos, docentes que de esta manera pueden evaluar el desempeño de una institución académica</w:t>
      </w:r>
      <w:r w:rsidR="000F6471">
        <w:rPr>
          <w:rFonts w:ascii="Arial" w:hAnsi="Arial" w:cs="Arial"/>
          <w:sz w:val="24"/>
          <w:szCs w:val="24"/>
        </w:rPr>
        <w:t xml:space="preserve">. </w:t>
      </w:r>
      <w:r w:rsidR="00C86DBF">
        <w:rPr>
          <w:rFonts w:ascii="Arial" w:hAnsi="Arial" w:cs="Arial"/>
          <w:sz w:val="24"/>
          <w:szCs w:val="24"/>
        </w:rPr>
        <w:t>(</w:t>
      </w:r>
      <w:r w:rsidR="00B00A22">
        <w:rPr>
          <w:rFonts w:ascii="Arial" w:hAnsi="Arial" w:cs="Arial"/>
          <w:sz w:val="24"/>
          <w:szCs w:val="24"/>
        </w:rPr>
        <w:t>Dorta,</w:t>
      </w:r>
      <w:r w:rsidR="000F6471">
        <w:rPr>
          <w:rFonts w:ascii="Arial" w:hAnsi="Arial" w:cs="Arial"/>
          <w:sz w:val="24"/>
          <w:szCs w:val="24"/>
        </w:rPr>
        <w:t xml:space="preserve"> 2016)</w:t>
      </w:r>
      <w:r w:rsidR="00C86DBF">
        <w:rPr>
          <w:rFonts w:ascii="Arial" w:hAnsi="Arial" w:cs="Arial"/>
          <w:sz w:val="24"/>
          <w:szCs w:val="24"/>
        </w:rPr>
        <w:t xml:space="preserve"> De est</w:t>
      </w:r>
      <w:r>
        <w:rPr>
          <w:rFonts w:ascii="Arial" w:hAnsi="Arial" w:cs="Arial"/>
          <w:sz w:val="24"/>
          <w:szCs w:val="24"/>
        </w:rPr>
        <w:t>emodo</w:t>
      </w:r>
      <w:r w:rsidR="00C86DBF">
        <w:rPr>
          <w:rFonts w:ascii="Arial" w:hAnsi="Arial" w:cs="Arial"/>
          <w:sz w:val="24"/>
          <w:szCs w:val="24"/>
        </w:rPr>
        <w:t xml:space="preserve"> el resultado de la producción científica del claustro de la carrera de Estomatología es visible para otras instituciones de Cuba y de otras partes del mundo al estar indexadas en bases de datos internacionales.</w:t>
      </w:r>
    </w:p>
    <w:p w:rsidR="00536556" w:rsidRDefault="00FD09AD" w:rsidP="009323B6">
      <w:pPr>
        <w:tabs>
          <w:tab w:val="left" w:pos="0"/>
        </w:tabs>
        <w:spacing w:after="0" w:line="240" w:lineRule="auto"/>
        <w:jc w:val="both"/>
        <w:rPr>
          <w:rFonts w:ascii="Arial" w:hAnsi="Arial" w:cs="Arial"/>
          <w:sz w:val="24"/>
          <w:szCs w:val="24"/>
        </w:rPr>
      </w:pPr>
      <w:r w:rsidRPr="00EF390B">
        <w:rPr>
          <w:rFonts w:ascii="Arial" w:hAnsi="Arial" w:cs="Arial"/>
          <w:sz w:val="24"/>
          <w:szCs w:val="24"/>
        </w:rPr>
        <w:t xml:space="preserve">La tabla </w:t>
      </w:r>
      <w:r w:rsidR="00E26596">
        <w:rPr>
          <w:rFonts w:ascii="Arial" w:hAnsi="Arial" w:cs="Arial"/>
          <w:sz w:val="24"/>
          <w:szCs w:val="24"/>
        </w:rPr>
        <w:t>2</w:t>
      </w:r>
      <w:r w:rsidRPr="00EF390B">
        <w:rPr>
          <w:rFonts w:ascii="Arial" w:hAnsi="Arial" w:cs="Arial"/>
          <w:sz w:val="24"/>
          <w:szCs w:val="24"/>
        </w:rPr>
        <w:t xml:space="preserve"> muestra el índice de presentaciones promedio en eventos científicos a distintos niveles por profesor, hay un evidente</w:t>
      </w:r>
      <w:r w:rsidR="00DC19FD" w:rsidRPr="00EF390B">
        <w:rPr>
          <w:rFonts w:ascii="Arial" w:hAnsi="Arial" w:cs="Arial"/>
          <w:sz w:val="24"/>
          <w:szCs w:val="24"/>
        </w:rPr>
        <w:t xml:space="preserve"> incremento en el índice total expresado en</w:t>
      </w:r>
      <w:r w:rsidR="00563376" w:rsidRPr="00EF390B">
        <w:rPr>
          <w:rFonts w:ascii="Arial" w:hAnsi="Arial" w:cs="Arial"/>
          <w:sz w:val="24"/>
          <w:szCs w:val="24"/>
        </w:rPr>
        <w:t xml:space="preserve"> 13,</w:t>
      </w:r>
      <w:r w:rsidRPr="00EF390B">
        <w:rPr>
          <w:rFonts w:ascii="Arial" w:hAnsi="Arial" w:cs="Arial"/>
          <w:sz w:val="24"/>
          <w:szCs w:val="24"/>
        </w:rPr>
        <w:t xml:space="preserve">73 en el quinquenio que concluyó en el 2018 </w:t>
      </w:r>
      <w:r w:rsidR="009323B6">
        <w:rPr>
          <w:rFonts w:ascii="Arial" w:hAnsi="Arial" w:cs="Arial"/>
          <w:sz w:val="24"/>
          <w:szCs w:val="24"/>
        </w:rPr>
        <w:t>y</w:t>
      </w:r>
      <w:r w:rsidR="00563376" w:rsidRPr="00EF390B">
        <w:rPr>
          <w:rFonts w:ascii="Arial" w:hAnsi="Arial" w:cs="Arial"/>
          <w:sz w:val="24"/>
          <w:szCs w:val="24"/>
        </w:rPr>
        <w:t>10,</w:t>
      </w:r>
      <w:r w:rsidR="00A77CD0">
        <w:rPr>
          <w:rFonts w:ascii="Arial" w:hAnsi="Arial" w:cs="Arial"/>
          <w:sz w:val="24"/>
          <w:szCs w:val="24"/>
        </w:rPr>
        <w:t xml:space="preserve">89 en el que </w:t>
      </w:r>
      <w:r w:rsidR="009323B6">
        <w:rPr>
          <w:rFonts w:ascii="Arial" w:hAnsi="Arial" w:cs="Arial"/>
          <w:sz w:val="24"/>
          <w:szCs w:val="24"/>
        </w:rPr>
        <w:t>terminó</w:t>
      </w:r>
      <w:r w:rsidR="00A77CD0">
        <w:rPr>
          <w:rFonts w:ascii="Arial" w:hAnsi="Arial" w:cs="Arial"/>
          <w:sz w:val="24"/>
          <w:szCs w:val="24"/>
        </w:rPr>
        <w:t xml:space="preserve"> en 2013, </w:t>
      </w:r>
      <w:r w:rsidR="009323B6">
        <w:rPr>
          <w:rFonts w:ascii="Arial" w:hAnsi="Arial" w:cs="Arial"/>
          <w:sz w:val="24"/>
          <w:szCs w:val="24"/>
        </w:rPr>
        <w:t xml:space="preserve">resultado que constituye una característica de la efectividad científica de los profesores lo que </w:t>
      </w:r>
      <w:r w:rsidR="00987AD6">
        <w:rPr>
          <w:rFonts w:ascii="Arial" w:hAnsi="Arial" w:cs="Arial"/>
          <w:sz w:val="24"/>
          <w:szCs w:val="24"/>
        </w:rPr>
        <w:t>constituye</w:t>
      </w:r>
      <w:r w:rsidR="009323B6">
        <w:rPr>
          <w:rFonts w:ascii="Arial" w:hAnsi="Arial" w:cs="Arial"/>
          <w:sz w:val="24"/>
          <w:szCs w:val="24"/>
        </w:rPr>
        <w:t xml:space="preserve"> una fortaleza. </w:t>
      </w:r>
    </w:p>
    <w:p w:rsidR="00306637" w:rsidRPr="00EF390B" w:rsidRDefault="00932D50" w:rsidP="009323B6">
      <w:pPr>
        <w:spacing w:after="0" w:line="240" w:lineRule="auto"/>
        <w:jc w:val="both"/>
        <w:rPr>
          <w:rFonts w:ascii="Arial" w:hAnsi="Arial" w:cs="Arial"/>
          <w:sz w:val="24"/>
          <w:szCs w:val="24"/>
        </w:rPr>
      </w:pPr>
      <w:r w:rsidRPr="00EF390B">
        <w:rPr>
          <w:rFonts w:ascii="Arial" w:hAnsi="Arial" w:cs="Arial"/>
          <w:sz w:val="24"/>
          <w:szCs w:val="24"/>
        </w:rPr>
        <w:t xml:space="preserve">Otro de los indicadores que tuvo un resultado relevante en 2018 fue la actividad de posgrado. </w:t>
      </w:r>
      <w:r w:rsidR="00DF0C14">
        <w:rPr>
          <w:rFonts w:ascii="Arial" w:hAnsi="Arial" w:cs="Arial"/>
          <w:sz w:val="24"/>
          <w:szCs w:val="24"/>
        </w:rPr>
        <w:t>E</w:t>
      </w:r>
      <w:r w:rsidR="00DF0C14" w:rsidRPr="00EF390B">
        <w:rPr>
          <w:rFonts w:ascii="Arial" w:hAnsi="Arial" w:cs="Arial"/>
          <w:sz w:val="24"/>
          <w:szCs w:val="24"/>
        </w:rPr>
        <w:t>n el quinquenio que culminó en 20</w:t>
      </w:r>
      <w:r w:rsidR="00DF0C14">
        <w:rPr>
          <w:rFonts w:ascii="Arial" w:hAnsi="Arial" w:cs="Arial"/>
          <w:sz w:val="24"/>
          <w:szCs w:val="24"/>
        </w:rPr>
        <w:t>18, s</w:t>
      </w:r>
      <w:r w:rsidRPr="00EF390B">
        <w:rPr>
          <w:rFonts w:ascii="Arial" w:hAnsi="Arial" w:cs="Arial"/>
          <w:sz w:val="24"/>
          <w:szCs w:val="24"/>
        </w:rPr>
        <w:t>e realizaronun total de 741 actividades de posgrado</w:t>
      </w:r>
      <w:r w:rsidR="00132E3F" w:rsidRPr="00EF390B">
        <w:rPr>
          <w:rFonts w:ascii="Arial" w:hAnsi="Arial" w:cs="Arial"/>
          <w:sz w:val="24"/>
          <w:szCs w:val="24"/>
        </w:rPr>
        <w:t>,</w:t>
      </w:r>
      <w:r w:rsidRPr="00EF390B">
        <w:rPr>
          <w:rFonts w:ascii="Arial" w:hAnsi="Arial" w:cs="Arial"/>
          <w:sz w:val="24"/>
          <w:szCs w:val="24"/>
        </w:rPr>
        <w:t xml:space="preserve"> tanto </w:t>
      </w:r>
      <w:r w:rsidR="00306637" w:rsidRPr="00EF390B">
        <w:rPr>
          <w:rFonts w:ascii="Arial" w:hAnsi="Arial" w:cs="Arial"/>
          <w:sz w:val="24"/>
          <w:szCs w:val="24"/>
        </w:rPr>
        <w:t>las correspondientes a</w:t>
      </w:r>
      <w:r w:rsidRPr="00EF390B">
        <w:rPr>
          <w:rFonts w:ascii="Arial" w:hAnsi="Arial" w:cs="Arial"/>
          <w:sz w:val="24"/>
          <w:szCs w:val="24"/>
        </w:rPr>
        <w:t xml:space="preserve"> formación académica como </w:t>
      </w:r>
      <w:r w:rsidR="00306637" w:rsidRPr="00EF390B">
        <w:rPr>
          <w:rFonts w:ascii="Arial" w:hAnsi="Arial" w:cs="Arial"/>
          <w:sz w:val="24"/>
          <w:szCs w:val="24"/>
        </w:rPr>
        <w:t>a</w:t>
      </w:r>
      <w:r w:rsidRPr="00EF390B">
        <w:rPr>
          <w:rFonts w:ascii="Arial" w:hAnsi="Arial" w:cs="Arial"/>
          <w:sz w:val="24"/>
          <w:szCs w:val="24"/>
        </w:rPr>
        <w:t xml:space="preserve"> la superación profesional. En el quinquenio que culminó en 2013 solo se impartieron </w:t>
      </w:r>
      <w:r w:rsidR="00132E3F" w:rsidRPr="00EF390B">
        <w:rPr>
          <w:rFonts w:ascii="Arial" w:hAnsi="Arial" w:cs="Arial"/>
          <w:sz w:val="24"/>
          <w:szCs w:val="24"/>
        </w:rPr>
        <w:t>205 actividades de posgrado.</w:t>
      </w:r>
    </w:p>
    <w:p w:rsidR="001156E5" w:rsidRPr="00EF390B" w:rsidRDefault="00306637" w:rsidP="009323B6">
      <w:pPr>
        <w:spacing w:after="0" w:line="240" w:lineRule="auto"/>
        <w:jc w:val="both"/>
        <w:rPr>
          <w:rFonts w:ascii="Arial" w:hAnsi="Arial" w:cs="Arial"/>
          <w:sz w:val="24"/>
          <w:szCs w:val="24"/>
        </w:rPr>
      </w:pPr>
      <w:r w:rsidRPr="00EF390B">
        <w:rPr>
          <w:rFonts w:ascii="Arial" w:hAnsi="Arial" w:cs="Arial"/>
          <w:sz w:val="24"/>
          <w:szCs w:val="24"/>
        </w:rPr>
        <w:t>CONCLUSIONES</w:t>
      </w:r>
    </w:p>
    <w:p w:rsidR="00402BC5" w:rsidRPr="00EF390B" w:rsidRDefault="00306637" w:rsidP="009323B6">
      <w:pPr>
        <w:pStyle w:val="Textoindependiente"/>
        <w:rPr>
          <w:rFonts w:cs="Arial"/>
          <w:szCs w:val="24"/>
        </w:rPr>
      </w:pPr>
      <w:r w:rsidRPr="00EF390B">
        <w:rPr>
          <w:rFonts w:cs="Arial"/>
          <w:szCs w:val="24"/>
        </w:rPr>
        <w:t>Se concluye que</w:t>
      </w:r>
      <w:r w:rsidR="001156E5" w:rsidRPr="00EF390B">
        <w:rPr>
          <w:rFonts w:cs="Arial"/>
          <w:szCs w:val="24"/>
        </w:rPr>
        <w:t>al compararlos resultados de los indicadores seleccionados de la variable profesores correspondientes a las autoevaluacionesde 2013 y 2018 hay un predominio de profesores que tienen edades entre 46 - 55 años en ambos años, así como también resaltó el sexo femenino. La mayoría de los profesores del claustro ostentan las categorías docentes de t</w:t>
      </w:r>
      <w:r w:rsidR="00402BC5" w:rsidRPr="00EF390B">
        <w:rPr>
          <w:rFonts w:cs="Arial"/>
          <w:szCs w:val="24"/>
        </w:rPr>
        <w:t xml:space="preserve">itular y auxiliar en ambos años. Se evidencia un aumento en el porciento de </w:t>
      </w:r>
      <w:r w:rsidR="004945A3" w:rsidRPr="00EF390B">
        <w:rPr>
          <w:rFonts w:cs="Arial"/>
          <w:szCs w:val="24"/>
        </w:rPr>
        <w:t>doctores en ciencias</w:t>
      </w:r>
      <w:r w:rsidR="00E0459B">
        <w:rPr>
          <w:rFonts w:cs="Arial"/>
          <w:szCs w:val="24"/>
        </w:rPr>
        <w:t xml:space="preserve">o su </w:t>
      </w:r>
      <w:bookmarkStart w:id="0" w:name="_GoBack"/>
      <w:bookmarkEnd w:id="0"/>
      <w:r w:rsidR="00E0459B">
        <w:rPr>
          <w:rFonts w:cs="Arial"/>
          <w:szCs w:val="24"/>
        </w:rPr>
        <w:t xml:space="preserve">equivalente, </w:t>
      </w:r>
      <w:r w:rsidR="00E0459B" w:rsidRPr="00EF390B">
        <w:rPr>
          <w:rFonts w:cs="Arial"/>
          <w:szCs w:val="24"/>
        </w:rPr>
        <w:t>que</w:t>
      </w:r>
      <w:r w:rsidR="000F1788" w:rsidRPr="00EF390B">
        <w:rPr>
          <w:rFonts w:cs="Arial"/>
          <w:szCs w:val="24"/>
        </w:rPr>
        <w:t xml:space="preserve"> consolida</w:t>
      </w:r>
      <w:r w:rsidR="00402BC5" w:rsidRPr="00EF390B">
        <w:rPr>
          <w:rFonts w:cs="Arial"/>
          <w:szCs w:val="24"/>
        </w:rPr>
        <w:t xml:space="preserve"> la sostenibilidad de la calidad del claustro y la cultura de la profesión.</w:t>
      </w:r>
    </w:p>
    <w:p w:rsidR="001156E5" w:rsidRPr="00EF390B" w:rsidRDefault="000B15FA" w:rsidP="00E26596">
      <w:pPr>
        <w:tabs>
          <w:tab w:val="left" w:pos="2480"/>
        </w:tabs>
        <w:spacing w:after="0" w:line="240" w:lineRule="auto"/>
        <w:jc w:val="both"/>
        <w:rPr>
          <w:rFonts w:ascii="Arial" w:hAnsi="Arial" w:cs="Arial"/>
          <w:sz w:val="24"/>
          <w:szCs w:val="24"/>
        </w:rPr>
      </w:pPr>
      <w:r w:rsidRPr="00EF390B">
        <w:rPr>
          <w:rFonts w:ascii="Arial" w:hAnsi="Arial" w:cs="Arial"/>
          <w:sz w:val="24"/>
          <w:szCs w:val="24"/>
        </w:rPr>
        <w:t xml:space="preserve">El índice de publicaciones por profesor en la Web of Science y BDI se incrementó, así como el porciento de profesores con más de 3 publicaciones, lo que evidencia que al menos </w:t>
      </w:r>
      <w:r>
        <w:rPr>
          <w:rFonts w:ascii="Arial" w:hAnsi="Arial" w:cs="Arial"/>
          <w:sz w:val="24"/>
          <w:szCs w:val="24"/>
        </w:rPr>
        <w:t>la tercera parte</w:t>
      </w:r>
      <w:r w:rsidRPr="00EF390B">
        <w:rPr>
          <w:rFonts w:ascii="Arial" w:hAnsi="Arial" w:cs="Arial"/>
          <w:sz w:val="24"/>
          <w:szCs w:val="24"/>
        </w:rPr>
        <w:t xml:space="preserve"> del claustro publica.</w:t>
      </w:r>
      <w:r w:rsidR="001156E5" w:rsidRPr="00EF390B">
        <w:rPr>
          <w:rFonts w:ascii="Arial" w:hAnsi="Arial" w:cs="Arial"/>
          <w:sz w:val="24"/>
          <w:szCs w:val="24"/>
        </w:rPr>
        <w:t xml:space="preserve">Se incrementó el número de investigadores en el año 2018 así como la presentación de ponencias en eventos </w:t>
      </w:r>
      <w:r w:rsidR="001156E5" w:rsidRPr="00EF390B">
        <w:rPr>
          <w:rFonts w:ascii="Arial" w:hAnsi="Arial" w:cs="Arial"/>
          <w:sz w:val="24"/>
          <w:szCs w:val="24"/>
        </w:rPr>
        <w:lastRenderedPageBreak/>
        <w:t xml:space="preserve">por profesor.  </w:t>
      </w:r>
      <w:r w:rsidR="008F78CB" w:rsidRPr="00EF390B">
        <w:rPr>
          <w:rFonts w:ascii="Arial" w:hAnsi="Arial" w:cs="Arial"/>
          <w:sz w:val="24"/>
          <w:szCs w:val="24"/>
        </w:rPr>
        <w:t>Las actividades de posgrado superaron ostensiblemente a las del periodo que culminó en el 2013.</w:t>
      </w:r>
    </w:p>
    <w:p w:rsidR="00AC2D60" w:rsidRPr="00EF390B" w:rsidRDefault="00AC2D60" w:rsidP="00EF390B">
      <w:pPr>
        <w:spacing w:after="0" w:line="240" w:lineRule="auto"/>
        <w:jc w:val="both"/>
        <w:rPr>
          <w:rFonts w:ascii="Arial" w:hAnsi="Arial" w:cs="Arial"/>
          <w:sz w:val="24"/>
          <w:szCs w:val="24"/>
        </w:rPr>
      </w:pPr>
    </w:p>
    <w:p w:rsidR="00391CC5" w:rsidRDefault="00391CC5" w:rsidP="00C75C3C">
      <w:pPr>
        <w:jc w:val="both"/>
        <w:rPr>
          <w:rFonts w:ascii="Arial" w:hAnsi="Arial" w:cs="Arial"/>
          <w:sz w:val="24"/>
          <w:szCs w:val="24"/>
        </w:rPr>
      </w:pPr>
    </w:p>
    <w:p w:rsidR="00391CC5" w:rsidRDefault="00391CC5" w:rsidP="00C75C3C">
      <w:pPr>
        <w:jc w:val="both"/>
        <w:rPr>
          <w:rFonts w:ascii="Arial" w:hAnsi="Arial" w:cs="Arial"/>
          <w:sz w:val="24"/>
          <w:szCs w:val="24"/>
        </w:rPr>
      </w:pPr>
    </w:p>
    <w:p w:rsidR="00C75C3C" w:rsidRDefault="00EF390B" w:rsidP="00B00A22">
      <w:pPr>
        <w:jc w:val="both"/>
        <w:rPr>
          <w:rFonts w:ascii="Arial" w:hAnsi="Arial" w:cs="Arial"/>
          <w:sz w:val="24"/>
          <w:szCs w:val="24"/>
        </w:rPr>
      </w:pPr>
      <w:r w:rsidRPr="00EF390B">
        <w:rPr>
          <w:rFonts w:ascii="Arial" w:hAnsi="Arial" w:cs="Arial"/>
          <w:sz w:val="24"/>
          <w:szCs w:val="24"/>
        </w:rPr>
        <w:t>Referencias</w:t>
      </w:r>
      <w:r>
        <w:rPr>
          <w:rFonts w:ascii="Arial" w:hAnsi="Arial" w:cs="Arial"/>
          <w:sz w:val="24"/>
          <w:szCs w:val="24"/>
        </w:rPr>
        <w:t xml:space="preserve"> bibliográficas</w:t>
      </w:r>
    </w:p>
    <w:p w:rsidR="00C75C3C" w:rsidRDefault="00B4428D" w:rsidP="00B00A22">
      <w:pPr>
        <w:ind w:left="540" w:hanging="450"/>
        <w:jc w:val="both"/>
        <w:rPr>
          <w:rFonts w:ascii="Arial" w:hAnsi="Arial" w:cs="Arial"/>
          <w:sz w:val="24"/>
          <w:szCs w:val="24"/>
        </w:rPr>
      </w:pPr>
      <w:r w:rsidRPr="00B4428D">
        <w:rPr>
          <w:rFonts w:ascii="Arial" w:hAnsi="Arial" w:cs="Arial"/>
          <w:color w:val="000000" w:themeColor="text1"/>
          <w:sz w:val="24"/>
          <w:szCs w:val="24"/>
        </w:rPr>
        <w:t xml:space="preserve">Barciela González Longoria, María de la Caridad, Grau León, Ileana Bárbara, Urbizo Vélez, Joaquín Juan, </w:t>
      </w:r>
      <w:r w:rsidR="006B18F2" w:rsidRPr="00B4428D">
        <w:rPr>
          <w:rFonts w:ascii="Arial" w:hAnsi="Arial" w:cs="Arial"/>
          <w:sz w:val="24"/>
          <w:szCs w:val="24"/>
        </w:rPr>
        <w:t>&amp;</w:t>
      </w:r>
      <w:r w:rsidRPr="00B4428D">
        <w:rPr>
          <w:rFonts w:ascii="Arial" w:hAnsi="Arial" w:cs="Arial"/>
          <w:color w:val="000000" w:themeColor="text1"/>
          <w:sz w:val="24"/>
          <w:szCs w:val="24"/>
        </w:rPr>
        <w:t xml:space="preserve">Soto Cantero, Luis Atilano (2014). Evaluación de la calidad de las carreras de Estomatología. </w:t>
      </w:r>
      <w:r w:rsidRPr="00B4428D">
        <w:rPr>
          <w:rFonts w:ascii="Arial" w:hAnsi="Arial" w:cs="Arial"/>
          <w:i/>
          <w:iCs/>
          <w:color w:val="000000" w:themeColor="text1"/>
          <w:sz w:val="24"/>
          <w:szCs w:val="24"/>
        </w:rPr>
        <w:t>Educación Médica Superior</w:t>
      </w:r>
      <w:r w:rsidRPr="00B4428D">
        <w:rPr>
          <w:rFonts w:ascii="Arial" w:hAnsi="Arial" w:cs="Arial"/>
          <w:color w:val="000000" w:themeColor="text1"/>
          <w:sz w:val="24"/>
          <w:szCs w:val="24"/>
        </w:rPr>
        <w:t xml:space="preserve">, </w:t>
      </w:r>
      <w:r w:rsidRPr="00B4428D">
        <w:rPr>
          <w:rFonts w:ascii="Arial" w:hAnsi="Arial" w:cs="Arial"/>
          <w:i/>
          <w:iCs/>
          <w:color w:val="000000" w:themeColor="text1"/>
          <w:sz w:val="24"/>
          <w:szCs w:val="24"/>
        </w:rPr>
        <w:t>28</w:t>
      </w:r>
      <w:r w:rsidRPr="00B4428D">
        <w:rPr>
          <w:rFonts w:ascii="Arial" w:hAnsi="Arial" w:cs="Arial"/>
          <w:color w:val="000000" w:themeColor="text1"/>
          <w:sz w:val="24"/>
          <w:szCs w:val="24"/>
        </w:rPr>
        <w:t xml:space="preserve">(2), 260-271. Recuperado en 08 de marzo de 2019, de </w:t>
      </w:r>
      <w:hyperlink r:id="rId13" w:history="1">
        <w:r w:rsidRPr="00B4428D">
          <w:rPr>
            <w:rStyle w:val="Hipervnculo"/>
            <w:rFonts w:ascii="Arial" w:hAnsi="Arial" w:cs="Arial"/>
            <w:sz w:val="24"/>
            <w:szCs w:val="24"/>
          </w:rPr>
          <w:t>http://scielo.sld.cu/scielo.php?script=sci_arttext&amp;pid=S0864-21412014000200007&amp;lng=es&amp;tlng=es</w:t>
        </w:r>
      </w:hyperlink>
      <w:r w:rsidRPr="00B4428D">
        <w:rPr>
          <w:rFonts w:ascii="Arial" w:hAnsi="Arial" w:cs="Arial"/>
          <w:sz w:val="24"/>
          <w:szCs w:val="24"/>
        </w:rPr>
        <w:t xml:space="preserve">.  </w:t>
      </w:r>
    </w:p>
    <w:p w:rsidR="00C75C3C" w:rsidRDefault="00A44C08" w:rsidP="00B00A22">
      <w:pPr>
        <w:ind w:left="540" w:hanging="450"/>
        <w:jc w:val="both"/>
        <w:rPr>
          <w:rFonts w:ascii="Arial" w:hAnsi="Arial" w:cs="Arial"/>
          <w:sz w:val="24"/>
          <w:szCs w:val="24"/>
        </w:rPr>
      </w:pPr>
      <w:r w:rsidRPr="00B4428D">
        <w:rPr>
          <w:rFonts w:ascii="Arial" w:hAnsi="Arial" w:cs="Arial"/>
          <w:sz w:val="24"/>
          <w:szCs w:val="24"/>
        </w:rPr>
        <w:t xml:space="preserve">Barciela González Longoria, María de la Caridad, Grau León, Ileana Bárbara, Fernández Pratt, Miralis Julia, &amp; Rosales Reyes, Solange. (2015). Calidad del claustro de profesores de la Facultad de Estomatología. </w:t>
      </w:r>
      <w:r w:rsidRPr="00B4428D">
        <w:rPr>
          <w:rFonts w:ascii="Arial" w:hAnsi="Arial" w:cs="Arial"/>
          <w:i/>
          <w:iCs/>
          <w:sz w:val="24"/>
          <w:szCs w:val="24"/>
        </w:rPr>
        <w:t>Educación Médica Superior</w:t>
      </w:r>
      <w:r w:rsidRPr="00B4428D">
        <w:rPr>
          <w:rFonts w:ascii="Arial" w:hAnsi="Arial" w:cs="Arial"/>
          <w:sz w:val="24"/>
          <w:szCs w:val="24"/>
        </w:rPr>
        <w:t xml:space="preserve">, </w:t>
      </w:r>
      <w:r w:rsidRPr="00B4428D">
        <w:rPr>
          <w:rFonts w:ascii="Arial" w:hAnsi="Arial" w:cs="Arial"/>
          <w:i/>
          <w:iCs/>
          <w:sz w:val="24"/>
          <w:szCs w:val="24"/>
        </w:rPr>
        <w:t>29</w:t>
      </w:r>
      <w:r w:rsidRPr="00B4428D">
        <w:rPr>
          <w:rFonts w:ascii="Arial" w:hAnsi="Arial" w:cs="Arial"/>
          <w:sz w:val="24"/>
          <w:szCs w:val="24"/>
        </w:rPr>
        <w:t xml:space="preserve">(1), 47-56. Recuperado en 11 de marzo de 2019, de </w:t>
      </w:r>
      <w:hyperlink r:id="rId14" w:history="1">
        <w:r w:rsidRPr="00B4428D">
          <w:rPr>
            <w:rStyle w:val="Hipervnculo"/>
            <w:rFonts w:ascii="Arial" w:hAnsi="Arial" w:cs="Arial"/>
            <w:sz w:val="24"/>
            <w:szCs w:val="24"/>
          </w:rPr>
          <w:t>http://scielo.sld.cu/scielo.php?script=sci_arttext&amp;pid=S0864-21412015000100006&amp;lng=es&amp;tlng=es</w:t>
        </w:r>
      </w:hyperlink>
      <w:r w:rsidRPr="00B4428D">
        <w:rPr>
          <w:rFonts w:ascii="Arial" w:hAnsi="Arial" w:cs="Arial"/>
          <w:sz w:val="24"/>
          <w:szCs w:val="24"/>
        </w:rPr>
        <w:t xml:space="preserve">. </w:t>
      </w:r>
    </w:p>
    <w:p w:rsidR="00C75C3C" w:rsidRDefault="007D64D8" w:rsidP="00B00A22">
      <w:pPr>
        <w:ind w:left="540" w:hanging="450"/>
        <w:jc w:val="both"/>
        <w:rPr>
          <w:rFonts w:ascii="Arial" w:hAnsi="Arial" w:cs="Arial"/>
          <w:sz w:val="24"/>
        </w:rPr>
      </w:pPr>
      <w:r w:rsidRPr="007D64D8">
        <w:rPr>
          <w:rFonts w:ascii="Arial" w:hAnsi="Arial" w:cs="Arial"/>
          <w:sz w:val="24"/>
        </w:rPr>
        <w:t xml:space="preserve">Companioni Bachá, A., Barciela González Longoria, M., Grau León, I., &amp; Hernández Gómez, L. (2017). Situación actual de la formación doctoral en la Facultad de Estomatología "Raúl González Sánchez". </w:t>
      </w:r>
      <w:r w:rsidRPr="000F6471">
        <w:rPr>
          <w:rStyle w:val="nfasis"/>
          <w:rFonts w:ascii="Arial" w:hAnsi="Arial" w:cs="Arial"/>
          <w:sz w:val="24"/>
        </w:rPr>
        <w:t>Educació</w:t>
      </w:r>
      <w:r w:rsidR="00B04B4B" w:rsidRPr="000F6471">
        <w:rPr>
          <w:rStyle w:val="nfasis"/>
          <w:rFonts w:ascii="Arial" w:hAnsi="Arial" w:cs="Arial"/>
          <w:sz w:val="24"/>
        </w:rPr>
        <w:t>n</w:t>
      </w:r>
      <w:r w:rsidRPr="000F6471">
        <w:rPr>
          <w:rStyle w:val="nfasis"/>
          <w:rFonts w:ascii="Arial" w:hAnsi="Arial" w:cs="Arial"/>
          <w:sz w:val="24"/>
        </w:rPr>
        <w:t xml:space="preserve"> Mé</w:t>
      </w:r>
      <w:r w:rsidR="00B04B4B" w:rsidRPr="000F6471">
        <w:rPr>
          <w:rStyle w:val="nfasis"/>
          <w:rFonts w:ascii="Arial" w:hAnsi="Arial" w:cs="Arial"/>
          <w:sz w:val="24"/>
        </w:rPr>
        <w:t>d</w:t>
      </w:r>
      <w:r w:rsidRPr="000F6471">
        <w:rPr>
          <w:rStyle w:val="nfasis"/>
          <w:rFonts w:ascii="Arial" w:hAnsi="Arial" w:cs="Arial"/>
          <w:sz w:val="24"/>
        </w:rPr>
        <w:t>ica Superior, 32</w:t>
      </w:r>
      <w:r w:rsidRPr="000F6471">
        <w:rPr>
          <w:rFonts w:ascii="Arial" w:hAnsi="Arial" w:cs="Arial"/>
          <w:sz w:val="24"/>
        </w:rPr>
        <w:t xml:space="preserve">(1). </w:t>
      </w:r>
      <w:r w:rsidRPr="007D64D8">
        <w:rPr>
          <w:rFonts w:ascii="Arial" w:hAnsi="Arial" w:cs="Arial"/>
          <w:sz w:val="24"/>
        </w:rPr>
        <w:t xml:space="preserve">Recuperado de </w:t>
      </w:r>
      <w:hyperlink r:id="rId15" w:history="1">
        <w:r w:rsidRPr="001B5F3D">
          <w:rPr>
            <w:rStyle w:val="Hipervnculo"/>
            <w:rFonts w:ascii="Arial" w:hAnsi="Arial" w:cs="Arial"/>
            <w:sz w:val="24"/>
          </w:rPr>
          <w:t>http://www.ems.sld.cu/index.php/ems/article/view/1212/640</w:t>
        </w:r>
      </w:hyperlink>
    </w:p>
    <w:p w:rsidR="000F6471" w:rsidRDefault="000F6471" w:rsidP="00B00A22">
      <w:pPr>
        <w:ind w:left="540" w:hanging="450"/>
        <w:jc w:val="both"/>
        <w:rPr>
          <w:rFonts w:ascii="Arial" w:hAnsi="Arial" w:cs="Arial"/>
          <w:sz w:val="24"/>
        </w:rPr>
      </w:pPr>
      <w:r w:rsidRPr="000F6471">
        <w:rPr>
          <w:rFonts w:ascii="Arial" w:hAnsi="Arial" w:cs="Arial"/>
          <w:sz w:val="24"/>
        </w:rPr>
        <w:t xml:space="preserve">Dorta-Contreras, Alberto Juan. (2016). Colaboración internacional y visibilidad de la producción científica por las métricas alternativas. </w:t>
      </w:r>
      <w:r w:rsidRPr="000F6471">
        <w:rPr>
          <w:rFonts w:ascii="Arial" w:hAnsi="Arial" w:cs="Arial"/>
          <w:i/>
          <w:iCs/>
          <w:sz w:val="24"/>
        </w:rPr>
        <w:t>Revista Habanera de Ciencias Médicas</w:t>
      </w:r>
      <w:r w:rsidRPr="000F6471">
        <w:rPr>
          <w:rFonts w:ascii="Arial" w:hAnsi="Arial" w:cs="Arial"/>
          <w:sz w:val="24"/>
        </w:rPr>
        <w:t xml:space="preserve">, </w:t>
      </w:r>
      <w:r w:rsidRPr="000F6471">
        <w:rPr>
          <w:rFonts w:ascii="Arial" w:hAnsi="Arial" w:cs="Arial"/>
          <w:i/>
          <w:iCs/>
          <w:sz w:val="24"/>
        </w:rPr>
        <w:t>15</w:t>
      </w:r>
      <w:r w:rsidRPr="000F6471">
        <w:rPr>
          <w:rFonts w:ascii="Arial" w:hAnsi="Arial" w:cs="Arial"/>
          <w:sz w:val="24"/>
        </w:rPr>
        <w:t>(6), 859-863. Recuperado en 17 de marzo de 2019, de</w:t>
      </w:r>
      <w:hyperlink r:id="rId16" w:history="1">
        <w:r w:rsidRPr="000F6471">
          <w:rPr>
            <w:rStyle w:val="Hipervnculo"/>
            <w:rFonts w:ascii="Arial" w:hAnsi="Arial" w:cs="Arial"/>
            <w:sz w:val="24"/>
          </w:rPr>
          <w:t>http://scielo.sld.cu/scielo.php?script=sci_arttext&amp;pid=S1729-519X2016000600001&amp;lng=es&amp;tlng=es</w:t>
        </w:r>
      </w:hyperlink>
      <w:r w:rsidRPr="000F6471">
        <w:rPr>
          <w:rFonts w:ascii="Arial" w:hAnsi="Arial" w:cs="Arial"/>
          <w:sz w:val="24"/>
        </w:rPr>
        <w:t xml:space="preserve"> .</w:t>
      </w:r>
    </w:p>
    <w:p w:rsidR="00B4428D" w:rsidRPr="00B4428D" w:rsidRDefault="00B4428D" w:rsidP="00B00A22">
      <w:pPr>
        <w:pStyle w:val="Bibliografa"/>
        <w:spacing w:line="276" w:lineRule="auto"/>
        <w:ind w:left="720" w:hanging="720"/>
        <w:rPr>
          <w:rFonts w:ascii="Arial" w:hAnsi="Arial" w:cs="Arial"/>
          <w:noProof/>
          <w:sz w:val="24"/>
          <w:szCs w:val="24"/>
          <w:lang w:val="es-ES"/>
        </w:rPr>
      </w:pPr>
      <w:r w:rsidRPr="00B4428D">
        <w:rPr>
          <w:rFonts w:ascii="Arial" w:hAnsi="Arial" w:cs="Arial"/>
          <w:noProof/>
          <w:sz w:val="24"/>
          <w:szCs w:val="24"/>
          <w:lang w:val="es-ES"/>
        </w:rPr>
        <w:t>MES. (20</w:t>
      </w:r>
      <w:r w:rsidR="00A375E4">
        <w:rPr>
          <w:rFonts w:ascii="Arial" w:hAnsi="Arial" w:cs="Arial"/>
          <w:noProof/>
          <w:sz w:val="24"/>
          <w:szCs w:val="24"/>
          <w:lang w:val="es-ES"/>
        </w:rPr>
        <w:t>14</w:t>
      </w:r>
      <w:r w:rsidRPr="00B4428D">
        <w:rPr>
          <w:rFonts w:ascii="Arial" w:hAnsi="Arial" w:cs="Arial"/>
          <w:noProof/>
          <w:sz w:val="24"/>
          <w:szCs w:val="24"/>
          <w:lang w:val="es-ES"/>
        </w:rPr>
        <w:t xml:space="preserve">). </w:t>
      </w:r>
      <w:r w:rsidRPr="00B4428D">
        <w:rPr>
          <w:rFonts w:ascii="Arial" w:hAnsi="Arial" w:cs="Arial"/>
          <w:i/>
          <w:iCs/>
          <w:noProof/>
          <w:sz w:val="24"/>
          <w:szCs w:val="24"/>
          <w:lang w:val="es-ES"/>
        </w:rPr>
        <w:t>Sistema de acreditación y evaluación de carreras universitarias. Manual de implementación.</w:t>
      </w:r>
      <w:r w:rsidRPr="00B4428D">
        <w:rPr>
          <w:rFonts w:ascii="Arial" w:hAnsi="Arial" w:cs="Arial"/>
          <w:noProof/>
          <w:sz w:val="24"/>
          <w:szCs w:val="24"/>
          <w:lang w:val="es-ES"/>
        </w:rPr>
        <w:t xml:space="preserve"> La Habana: Editorial Félix Varela.</w:t>
      </w:r>
    </w:p>
    <w:p w:rsidR="00B4428D" w:rsidRDefault="004945A3" w:rsidP="00B00A22">
      <w:pPr>
        <w:pStyle w:val="Ttulo1"/>
        <w:spacing w:before="0" w:after="120" w:line="276" w:lineRule="auto"/>
        <w:ind w:left="450" w:hanging="450"/>
        <w:rPr>
          <w:rFonts w:ascii="Arial" w:hAnsi="Arial" w:cs="Arial"/>
          <w:noProof/>
          <w:color w:val="auto"/>
          <w:sz w:val="24"/>
          <w:szCs w:val="24"/>
          <w:lang w:val="es-ES"/>
        </w:rPr>
      </w:pPr>
      <w:r w:rsidRPr="00571408">
        <w:rPr>
          <w:rFonts w:ascii="Arial" w:hAnsi="Arial" w:cs="Arial"/>
          <w:color w:val="auto"/>
          <w:sz w:val="24"/>
          <w:szCs w:val="24"/>
          <w:lang w:val="es-ES"/>
        </w:rPr>
        <w:lastRenderedPageBreak/>
        <w:t xml:space="preserve">MES. 2014. </w:t>
      </w:r>
      <w:r w:rsidRPr="00571408">
        <w:rPr>
          <w:rFonts w:ascii="Arial" w:hAnsi="Arial" w:cs="Arial"/>
          <w:i/>
          <w:color w:val="auto"/>
          <w:sz w:val="24"/>
          <w:szCs w:val="24"/>
          <w:lang w:val="es-ES"/>
        </w:rPr>
        <w:t>Sistema de Evaluación y Acreditación de Carreras Universitarias</w:t>
      </w:r>
      <w:r w:rsidRPr="00571408">
        <w:rPr>
          <w:rFonts w:ascii="Arial" w:hAnsi="Arial" w:cs="Arial"/>
          <w:color w:val="auto"/>
          <w:sz w:val="24"/>
          <w:szCs w:val="24"/>
          <w:lang w:val="es-ES"/>
        </w:rPr>
        <w:t xml:space="preserve">.  </w:t>
      </w:r>
      <w:r w:rsidR="00B4428D" w:rsidRPr="00571408">
        <w:rPr>
          <w:rFonts w:ascii="Arial" w:hAnsi="Arial" w:cs="Arial"/>
          <w:color w:val="auto"/>
          <w:sz w:val="24"/>
          <w:szCs w:val="24"/>
          <w:lang w:val="es-ES"/>
        </w:rPr>
        <w:t xml:space="preserve">La Habana: </w:t>
      </w:r>
      <w:r w:rsidR="00B4428D" w:rsidRPr="00B4428D">
        <w:rPr>
          <w:rFonts w:ascii="Arial" w:hAnsi="Arial" w:cs="Arial"/>
          <w:noProof/>
          <w:color w:val="auto"/>
          <w:sz w:val="24"/>
          <w:szCs w:val="24"/>
          <w:lang w:val="es-ES"/>
        </w:rPr>
        <w:t>Editorial Félix Varela.</w:t>
      </w:r>
    </w:p>
    <w:p w:rsidR="00B4428D" w:rsidRPr="00571408" w:rsidRDefault="00A46753" w:rsidP="00B00A22">
      <w:pPr>
        <w:pStyle w:val="Ttulo1"/>
        <w:spacing w:before="0" w:after="120" w:line="276" w:lineRule="auto"/>
        <w:ind w:left="450" w:hanging="450"/>
        <w:jc w:val="both"/>
        <w:rPr>
          <w:rFonts w:ascii="Arial" w:eastAsia="Times New Roman" w:hAnsi="Arial" w:cs="Arial"/>
          <w:color w:val="auto"/>
          <w:sz w:val="24"/>
          <w:szCs w:val="30"/>
          <w:lang w:val="es-ES"/>
        </w:rPr>
      </w:pPr>
      <w:r w:rsidRPr="00571408">
        <w:rPr>
          <w:rFonts w:ascii="Arial" w:eastAsia="Times New Roman" w:hAnsi="Arial" w:cs="Arial"/>
          <w:color w:val="auto"/>
          <w:sz w:val="24"/>
          <w:szCs w:val="30"/>
          <w:lang w:val="es-ES"/>
        </w:rPr>
        <w:t xml:space="preserve">MES. </w:t>
      </w:r>
      <w:r w:rsidR="004A7538" w:rsidRPr="00571408">
        <w:rPr>
          <w:rFonts w:ascii="Arial" w:eastAsia="Times New Roman" w:hAnsi="Arial" w:cs="Arial"/>
          <w:color w:val="auto"/>
          <w:sz w:val="24"/>
          <w:szCs w:val="30"/>
          <w:lang w:val="es-ES"/>
        </w:rPr>
        <w:t>(</w:t>
      </w:r>
      <w:r w:rsidRPr="00571408">
        <w:rPr>
          <w:rFonts w:ascii="Arial" w:eastAsia="Times New Roman" w:hAnsi="Arial" w:cs="Arial"/>
          <w:color w:val="auto"/>
          <w:sz w:val="24"/>
          <w:szCs w:val="30"/>
          <w:lang w:val="es-ES"/>
        </w:rPr>
        <w:t>2018</w:t>
      </w:r>
      <w:r w:rsidR="004A7538" w:rsidRPr="00571408">
        <w:rPr>
          <w:rFonts w:ascii="Arial" w:eastAsia="Times New Roman" w:hAnsi="Arial" w:cs="Arial"/>
          <w:color w:val="auto"/>
          <w:sz w:val="24"/>
          <w:szCs w:val="30"/>
          <w:lang w:val="es-ES"/>
        </w:rPr>
        <w:t>)</w:t>
      </w:r>
      <w:r w:rsidRPr="00571408">
        <w:rPr>
          <w:rFonts w:ascii="Arial" w:eastAsia="Times New Roman" w:hAnsi="Arial" w:cs="Arial"/>
          <w:color w:val="auto"/>
          <w:sz w:val="24"/>
          <w:szCs w:val="30"/>
          <w:lang w:val="es-ES"/>
        </w:rPr>
        <w:t xml:space="preserve">. </w:t>
      </w:r>
      <w:r w:rsidRPr="00A46753">
        <w:rPr>
          <w:rFonts w:ascii="Arial" w:eastAsia="Times New Roman" w:hAnsi="Arial" w:cs="Arial"/>
          <w:color w:val="auto"/>
          <w:sz w:val="24"/>
          <w:szCs w:val="30"/>
          <w:lang w:val="es-ES"/>
        </w:rPr>
        <w:t>Resolución 2</w:t>
      </w:r>
      <w:r w:rsidRPr="00571408">
        <w:rPr>
          <w:rFonts w:ascii="Arial" w:eastAsia="Times New Roman" w:hAnsi="Arial" w:cs="Arial"/>
          <w:color w:val="auto"/>
          <w:sz w:val="24"/>
          <w:szCs w:val="30"/>
          <w:lang w:val="es-ES"/>
        </w:rPr>
        <w:t>/</w:t>
      </w:r>
      <w:r w:rsidRPr="00A46753">
        <w:rPr>
          <w:rFonts w:ascii="Arial" w:eastAsia="Times New Roman" w:hAnsi="Arial" w:cs="Arial"/>
          <w:color w:val="auto"/>
          <w:sz w:val="24"/>
          <w:szCs w:val="30"/>
          <w:lang w:val="es-ES"/>
        </w:rPr>
        <w:t>20</w:t>
      </w:r>
      <w:r w:rsidRPr="00571408">
        <w:rPr>
          <w:rFonts w:ascii="Arial" w:eastAsia="Times New Roman" w:hAnsi="Arial" w:cs="Arial"/>
          <w:color w:val="auto"/>
          <w:sz w:val="24"/>
          <w:szCs w:val="30"/>
          <w:lang w:val="es-ES"/>
        </w:rPr>
        <w:t>18</w:t>
      </w:r>
      <w:r w:rsidRPr="00A46753">
        <w:rPr>
          <w:rFonts w:ascii="Arial" w:eastAsia="Times New Roman" w:hAnsi="Arial" w:cs="Arial"/>
          <w:color w:val="auto"/>
          <w:sz w:val="24"/>
          <w:szCs w:val="30"/>
          <w:lang w:val="es-ES"/>
        </w:rPr>
        <w:t xml:space="preserve">.Reglamento para el trabajo docente y metodológico del Ministerio de Educación Superior. La Habana. </w:t>
      </w:r>
      <w:r w:rsidRPr="00571408">
        <w:rPr>
          <w:rFonts w:ascii="Arial" w:eastAsia="Times New Roman" w:hAnsi="Arial" w:cs="Arial"/>
          <w:color w:val="auto"/>
          <w:sz w:val="24"/>
          <w:szCs w:val="30"/>
          <w:lang w:val="es-ES"/>
        </w:rPr>
        <w:t>Cuba.</w:t>
      </w:r>
    </w:p>
    <w:p w:rsidR="00B4428D" w:rsidRDefault="004E4EC3" w:rsidP="00B00A22">
      <w:pPr>
        <w:pStyle w:val="Ttulo1"/>
        <w:spacing w:before="0" w:after="120" w:line="276" w:lineRule="auto"/>
        <w:ind w:left="450" w:hanging="450"/>
        <w:jc w:val="both"/>
        <w:rPr>
          <w:rFonts w:ascii="Arial" w:hAnsi="Arial" w:cs="Arial"/>
          <w:color w:val="0000FF"/>
          <w:sz w:val="24"/>
          <w:lang w:val="es-ES"/>
        </w:rPr>
      </w:pPr>
      <w:r w:rsidRPr="00571408">
        <w:rPr>
          <w:rFonts w:ascii="Arial" w:hAnsi="Arial" w:cs="Arial"/>
          <w:color w:val="auto"/>
          <w:sz w:val="24"/>
          <w:lang w:val="es-ES"/>
        </w:rPr>
        <w:t xml:space="preserve">MINSAP. 2017. Anuario Estadístico de Salud. La Habana. Cuba. </w:t>
      </w:r>
      <w:r w:rsidRPr="00B4428D">
        <w:rPr>
          <w:rFonts w:ascii="Arial" w:hAnsi="Arial" w:cs="Arial"/>
          <w:color w:val="auto"/>
          <w:sz w:val="24"/>
          <w:lang w:val="es-ES"/>
        </w:rPr>
        <w:t>Recuperado en 17 de marzo de 2019</w:t>
      </w:r>
      <w:r w:rsidR="00B4428D" w:rsidRPr="00B4428D">
        <w:rPr>
          <w:rFonts w:ascii="Arial" w:hAnsi="Arial" w:cs="Arial"/>
          <w:color w:val="auto"/>
          <w:sz w:val="24"/>
          <w:lang w:val="es-ES"/>
        </w:rPr>
        <w:t>, de</w:t>
      </w:r>
      <w:r w:rsidR="00B4428D" w:rsidRPr="00B4428D">
        <w:rPr>
          <w:rFonts w:ascii="Arial" w:hAnsi="Arial" w:cs="Arial"/>
          <w:color w:val="0000FF"/>
          <w:sz w:val="24"/>
          <w:lang w:val="es-ES"/>
        </w:rPr>
        <w:t>:</w:t>
      </w:r>
      <w:hyperlink r:id="rId17" w:history="1">
        <w:r w:rsidRPr="00B4428D">
          <w:rPr>
            <w:rStyle w:val="Hipervnculo"/>
            <w:rFonts w:ascii="Arial" w:hAnsi="Arial" w:cs="Arial"/>
            <w:sz w:val="24"/>
            <w:lang w:val="es-ES"/>
          </w:rPr>
          <w:t>http://files.sld.cu/dne/files/2018/04/Anuario-Electronico-Espa%C3%B1ol-2017-ed-2018.pdf</w:t>
        </w:r>
      </w:hyperlink>
    </w:p>
    <w:p w:rsidR="00E07D7B" w:rsidRDefault="00E07D7B" w:rsidP="00B00A22">
      <w:pPr>
        <w:tabs>
          <w:tab w:val="left" w:pos="-284"/>
        </w:tabs>
        <w:spacing w:after="0"/>
        <w:ind w:right="-72"/>
        <w:jc w:val="both"/>
        <w:rPr>
          <w:rFonts w:ascii="Arial" w:hAnsi="Arial" w:cs="Arial"/>
          <w:sz w:val="24"/>
          <w:szCs w:val="24"/>
        </w:rPr>
      </w:pPr>
    </w:p>
    <w:p w:rsidR="00E07D7B" w:rsidRDefault="00E07D7B" w:rsidP="00AC2D60">
      <w:pPr>
        <w:tabs>
          <w:tab w:val="left" w:pos="-284"/>
        </w:tabs>
        <w:spacing w:after="0" w:line="480" w:lineRule="auto"/>
        <w:ind w:right="-72"/>
        <w:jc w:val="both"/>
        <w:rPr>
          <w:rFonts w:ascii="Arial" w:hAnsi="Arial" w:cs="Arial"/>
          <w:sz w:val="24"/>
          <w:szCs w:val="24"/>
        </w:rPr>
      </w:pPr>
    </w:p>
    <w:p w:rsidR="00E07D7B" w:rsidRDefault="00E07D7B" w:rsidP="00AC2D60">
      <w:pPr>
        <w:tabs>
          <w:tab w:val="left" w:pos="-284"/>
        </w:tabs>
        <w:spacing w:after="0" w:line="480" w:lineRule="auto"/>
        <w:ind w:right="-72"/>
        <w:jc w:val="both"/>
        <w:rPr>
          <w:rFonts w:ascii="Arial" w:hAnsi="Arial" w:cs="Arial"/>
          <w:sz w:val="24"/>
          <w:szCs w:val="24"/>
        </w:rPr>
      </w:pPr>
    </w:p>
    <w:p w:rsidR="00B00A22" w:rsidRDefault="00B00A22" w:rsidP="00972830">
      <w:pPr>
        <w:tabs>
          <w:tab w:val="left" w:pos="-284"/>
        </w:tabs>
        <w:spacing w:after="0" w:line="480" w:lineRule="auto"/>
        <w:ind w:right="-72"/>
        <w:jc w:val="center"/>
        <w:rPr>
          <w:rFonts w:ascii="Arial" w:hAnsi="Arial" w:cs="Arial"/>
          <w:sz w:val="24"/>
          <w:szCs w:val="24"/>
        </w:rPr>
      </w:pPr>
    </w:p>
    <w:p w:rsidR="00E07D7B" w:rsidRDefault="008007D2" w:rsidP="00972830">
      <w:pPr>
        <w:tabs>
          <w:tab w:val="left" w:pos="-284"/>
        </w:tabs>
        <w:spacing w:after="0" w:line="480" w:lineRule="auto"/>
        <w:ind w:right="-72"/>
        <w:jc w:val="center"/>
        <w:rPr>
          <w:rFonts w:ascii="Arial" w:hAnsi="Arial" w:cs="Arial"/>
          <w:sz w:val="24"/>
          <w:szCs w:val="24"/>
        </w:rPr>
      </w:pPr>
      <w:r>
        <w:rPr>
          <w:rFonts w:ascii="Arial" w:hAnsi="Arial" w:cs="Arial"/>
          <w:sz w:val="24"/>
          <w:szCs w:val="24"/>
        </w:rPr>
        <w:t>An</w:t>
      </w:r>
      <w:r w:rsidR="00E07D7B">
        <w:rPr>
          <w:rFonts w:ascii="Arial" w:hAnsi="Arial" w:cs="Arial"/>
          <w:sz w:val="24"/>
          <w:szCs w:val="24"/>
        </w:rPr>
        <w:t>exos</w:t>
      </w:r>
    </w:p>
    <w:p w:rsidR="00E07D7B" w:rsidRPr="00EF390B" w:rsidRDefault="00E07D7B" w:rsidP="00E07D7B">
      <w:pPr>
        <w:tabs>
          <w:tab w:val="left" w:pos="956"/>
          <w:tab w:val="center" w:pos="4419"/>
        </w:tabs>
        <w:jc w:val="center"/>
        <w:rPr>
          <w:rFonts w:ascii="Arial" w:hAnsi="Arial" w:cs="Arial"/>
          <w:sz w:val="24"/>
          <w:szCs w:val="24"/>
        </w:rPr>
      </w:pPr>
      <w:r w:rsidRPr="00EF390B">
        <w:rPr>
          <w:rFonts w:ascii="Arial" w:hAnsi="Arial" w:cs="Arial"/>
          <w:sz w:val="24"/>
          <w:szCs w:val="24"/>
        </w:rPr>
        <w:t>Figura 1 Distribución porcentual del claustro según edad. Datos comparativos 2013 - 2018</w:t>
      </w:r>
    </w:p>
    <w:p w:rsidR="00E07D7B" w:rsidRPr="00EF390B" w:rsidRDefault="00E07D7B" w:rsidP="00E07D7B">
      <w:pPr>
        <w:jc w:val="center"/>
        <w:rPr>
          <w:rFonts w:ascii="Arial" w:hAnsi="Arial" w:cs="Arial"/>
          <w:sz w:val="24"/>
          <w:szCs w:val="24"/>
        </w:rPr>
      </w:pPr>
      <w:r w:rsidRPr="00EF390B">
        <w:rPr>
          <w:rFonts w:ascii="Arial" w:hAnsi="Arial" w:cs="Arial"/>
          <w:noProof/>
          <w:sz w:val="24"/>
          <w:szCs w:val="24"/>
          <w:lang w:eastAsia="es-ES"/>
        </w:rPr>
        <w:drawing>
          <wp:inline distT="0" distB="0" distL="0" distR="0">
            <wp:extent cx="3648075" cy="1600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7D7B" w:rsidRPr="00EF390B" w:rsidRDefault="00E07D7B" w:rsidP="00E07D7B">
      <w:pPr>
        <w:jc w:val="center"/>
        <w:rPr>
          <w:rFonts w:ascii="Arial" w:hAnsi="Arial" w:cs="Arial"/>
          <w:sz w:val="24"/>
          <w:szCs w:val="24"/>
        </w:rPr>
      </w:pPr>
      <w:r w:rsidRPr="00EF390B">
        <w:rPr>
          <w:rFonts w:ascii="Arial" w:hAnsi="Arial" w:cs="Arial"/>
          <w:sz w:val="24"/>
          <w:szCs w:val="24"/>
        </w:rPr>
        <w:t>Fuente: Departamento de Cuadros</w:t>
      </w:r>
    </w:p>
    <w:p w:rsidR="00E07D7B" w:rsidRDefault="00E07D7B" w:rsidP="00AC2D60">
      <w:pPr>
        <w:tabs>
          <w:tab w:val="left" w:pos="-284"/>
        </w:tabs>
        <w:spacing w:after="0" w:line="480" w:lineRule="auto"/>
        <w:ind w:right="-72"/>
        <w:jc w:val="both"/>
        <w:rPr>
          <w:rFonts w:ascii="Arial" w:hAnsi="Arial" w:cs="Arial"/>
          <w:sz w:val="24"/>
          <w:szCs w:val="24"/>
        </w:rPr>
      </w:pPr>
    </w:p>
    <w:p w:rsidR="00E07D7B" w:rsidRPr="00EF390B" w:rsidRDefault="00E07D7B" w:rsidP="00E07D7B">
      <w:pPr>
        <w:tabs>
          <w:tab w:val="left" w:pos="956"/>
          <w:tab w:val="center" w:pos="4419"/>
        </w:tabs>
        <w:jc w:val="center"/>
        <w:rPr>
          <w:rFonts w:ascii="Arial" w:hAnsi="Arial" w:cs="Arial"/>
          <w:sz w:val="24"/>
          <w:szCs w:val="24"/>
        </w:rPr>
      </w:pPr>
      <w:r w:rsidRPr="00EF390B">
        <w:rPr>
          <w:rFonts w:ascii="Arial" w:hAnsi="Arial" w:cs="Arial"/>
          <w:sz w:val="24"/>
          <w:szCs w:val="24"/>
        </w:rPr>
        <w:t>Figura 2. Distribución porcentual del claustro según sexo.Datos comparativos 2013 - 2018</w:t>
      </w:r>
    </w:p>
    <w:p w:rsidR="00E07D7B" w:rsidRPr="00EF390B" w:rsidRDefault="00E07D7B" w:rsidP="00E07D7B">
      <w:pPr>
        <w:jc w:val="center"/>
        <w:rPr>
          <w:rFonts w:ascii="Arial" w:hAnsi="Arial" w:cs="Arial"/>
          <w:sz w:val="24"/>
          <w:szCs w:val="24"/>
        </w:rPr>
      </w:pPr>
      <w:r w:rsidRPr="00EF390B">
        <w:rPr>
          <w:rFonts w:ascii="Arial" w:hAnsi="Arial" w:cs="Arial"/>
          <w:noProof/>
          <w:sz w:val="24"/>
          <w:szCs w:val="24"/>
          <w:lang w:eastAsia="es-ES"/>
        </w:rPr>
        <w:lastRenderedPageBreak/>
        <w:drawing>
          <wp:inline distT="0" distB="0" distL="0" distR="0">
            <wp:extent cx="3581400" cy="1657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7D7B" w:rsidRPr="00EF390B" w:rsidRDefault="00E07D7B" w:rsidP="00E07D7B">
      <w:pPr>
        <w:jc w:val="center"/>
        <w:rPr>
          <w:rFonts w:ascii="Arial" w:hAnsi="Arial" w:cs="Arial"/>
          <w:sz w:val="24"/>
          <w:szCs w:val="24"/>
        </w:rPr>
      </w:pPr>
      <w:r w:rsidRPr="00EF390B">
        <w:rPr>
          <w:rFonts w:ascii="Arial" w:hAnsi="Arial" w:cs="Arial"/>
          <w:sz w:val="24"/>
          <w:szCs w:val="24"/>
        </w:rPr>
        <w:t>Fuente: Departamento de Cuadros</w:t>
      </w:r>
    </w:p>
    <w:p w:rsidR="00E07D7B" w:rsidRDefault="00E07D7B"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Default="008007D2" w:rsidP="00E07D7B">
      <w:pPr>
        <w:spacing w:after="0" w:line="240" w:lineRule="auto"/>
        <w:rPr>
          <w:rFonts w:ascii="Arial" w:hAnsi="Arial" w:cs="Arial"/>
          <w:sz w:val="24"/>
          <w:szCs w:val="24"/>
        </w:rPr>
      </w:pPr>
    </w:p>
    <w:p w:rsidR="008007D2" w:rsidRPr="00EF390B" w:rsidRDefault="008007D2" w:rsidP="00E07D7B">
      <w:pPr>
        <w:spacing w:after="0" w:line="240" w:lineRule="auto"/>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E07D7B" w:rsidRPr="00EF390B" w:rsidRDefault="00E07D7B" w:rsidP="00E07D7B">
      <w:pPr>
        <w:spacing w:after="0" w:line="240" w:lineRule="auto"/>
        <w:jc w:val="center"/>
        <w:rPr>
          <w:rFonts w:ascii="Arial" w:hAnsi="Arial" w:cs="Arial"/>
          <w:sz w:val="24"/>
          <w:szCs w:val="24"/>
        </w:rPr>
      </w:pPr>
      <w:r w:rsidRPr="00EF390B">
        <w:rPr>
          <w:rFonts w:ascii="Arial" w:hAnsi="Arial" w:cs="Arial"/>
          <w:sz w:val="24"/>
          <w:szCs w:val="24"/>
        </w:rPr>
        <w:t>Figura 3</w:t>
      </w:r>
    </w:p>
    <w:p w:rsidR="00E07D7B" w:rsidRPr="00EF390B" w:rsidRDefault="00E07D7B" w:rsidP="00E07D7B">
      <w:pPr>
        <w:tabs>
          <w:tab w:val="left" w:pos="956"/>
          <w:tab w:val="center" w:pos="4419"/>
        </w:tabs>
        <w:jc w:val="center"/>
        <w:rPr>
          <w:rFonts w:ascii="Arial" w:hAnsi="Arial" w:cs="Arial"/>
          <w:sz w:val="24"/>
          <w:szCs w:val="24"/>
        </w:rPr>
      </w:pPr>
      <w:r w:rsidRPr="00EF390B">
        <w:rPr>
          <w:rFonts w:ascii="Arial" w:hAnsi="Arial" w:cs="Arial"/>
          <w:sz w:val="24"/>
          <w:szCs w:val="24"/>
        </w:rPr>
        <w:t>Claustro según categoría docente. Datos comparativos 2013 - 2018</w:t>
      </w:r>
      <w:r w:rsidRPr="00EF390B">
        <w:rPr>
          <w:rFonts w:ascii="Arial" w:hAnsi="Arial" w:cs="Arial"/>
          <w:sz w:val="24"/>
          <w:szCs w:val="24"/>
        </w:rPr>
        <w:br w:type="textWrapping" w:clear="all"/>
      </w:r>
    </w:p>
    <w:p w:rsidR="00E07D7B" w:rsidRPr="00EF390B" w:rsidRDefault="00E07D7B" w:rsidP="00E07D7B">
      <w:pPr>
        <w:tabs>
          <w:tab w:val="left" w:pos="956"/>
          <w:tab w:val="center" w:pos="4419"/>
        </w:tabs>
        <w:jc w:val="center"/>
        <w:rPr>
          <w:rFonts w:ascii="Arial" w:hAnsi="Arial" w:cs="Arial"/>
          <w:sz w:val="24"/>
          <w:szCs w:val="24"/>
        </w:rPr>
      </w:pPr>
      <w:r w:rsidRPr="00EF390B">
        <w:rPr>
          <w:rFonts w:ascii="Arial" w:hAnsi="Arial" w:cs="Arial"/>
          <w:noProof/>
          <w:sz w:val="24"/>
          <w:szCs w:val="24"/>
          <w:lang w:eastAsia="es-ES"/>
        </w:rPr>
        <w:drawing>
          <wp:anchor distT="0" distB="0" distL="114300" distR="114300" simplePos="0" relativeHeight="251659264" behindDoc="0" locked="0" layoutInCell="1" allowOverlap="1">
            <wp:simplePos x="0" y="0"/>
            <wp:positionH relativeFrom="column">
              <wp:posOffset>643890</wp:posOffset>
            </wp:positionH>
            <wp:positionV relativeFrom="paragraph">
              <wp:posOffset>4445</wp:posOffset>
            </wp:positionV>
            <wp:extent cx="4286250" cy="16478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EF390B">
        <w:rPr>
          <w:rFonts w:ascii="Arial" w:hAnsi="Arial" w:cs="Arial"/>
          <w:sz w:val="24"/>
          <w:szCs w:val="24"/>
        </w:rPr>
        <w:br w:type="textWrapping" w:clear="all"/>
        <w:t>Fuente: Departamento de Cuadros</w:t>
      </w:r>
    </w:p>
    <w:p w:rsidR="00E07D7B" w:rsidRPr="00EF390B" w:rsidRDefault="00E07D7B" w:rsidP="00E07D7B">
      <w:pPr>
        <w:spacing w:after="0" w:line="240" w:lineRule="auto"/>
        <w:jc w:val="center"/>
        <w:rPr>
          <w:rFonts w:ascii="Arial" w:hAnsi="Arial" w:cs="Arial"/>
          <w:sz w:val="24"/>
          <w:szCs w:val="24"/>
        </w:rPr>
      </w:pPr>
      <w:r w:rsidRPr="00EF390B">
        <w:rPr>
          <w:rFonts w:ascii="Arial" w:hAnsi="Arial" w:cs="Arial"/>
          <w:sz w:val="24"/>
          <w:szCs w:val="24"/>
        </w:rPr>
        <w:t>Figura 4</w:t>
      </w:r>
    </w:p>
    <w:p w:rsidR="00E07D7B" w:rsidRPr="00EF390B" w:rsidRDefault="00E07D7B" w:rsidP="00E07D7B">
      <w:pPr>
        <w:jc w:val="center"/>
        <w:rPr>
          <w:rFonts w:ascii="Arial" w:hAnsi="Arial" w:cs="Arial"/>
          <w:sz w:val="24"/>
          <w:szCs w:val="24"/>
        </w:rPr>
      </w:pPr>
      <w:r w:rsidRPr="00EF390B">
        <w:rPr>
          <w:rFonts w:ascii="Arial" w:hAnsi="Arial" w:cs="Arial"/>
          <w:sz w:val="24"/>
          <w:szCs w:val="24"/>
        </w:rPr>
        <w:t>Claustro según categoría investigativa. Datos comparativos 2013 - 2018</w:t>
      </w:r>
    </w:p>
    <w:p w:rsidR="00E07D7B" w:rsidRPr="00EF390B" w:rsidRDefault="00E07D7B" w:rsidP="00E07D7B">
      <w:pPr>
        <w:jc w:val="center"/>
        <w:rPr>
          <w:rFonts w:ascii="Arial" w:hAnsi="Arial" w:cs="Arial"/>
          <w:sz w:val="24"/>
          <w:szCs w:val="24"/>
        </w:rPr>
      </w:pPr>
      <w:r w:rsidRPr="00EF390B">
        <w:rPr>
          <w:rFonts w:ascii="Arial" w:hAnsi="Arial" w:cs="Arial"/>
          <w:noProof/>
          <w:sz w:val="24"/>
          <w:szCs w:val="24"/>
          <w:lang w:eastAsia="es-ES"/>
        </w:rPr>
        <w:lastRenderedPageBreak/>
        <w:drawing>
          <wp:inline distT="0" distB="0" distL="0" distR="0">
            <wp:extent cx="4057650" cy="18002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8007D2" w:rsidRDefault="008007D2" w:rsidP="00E07D7B">
      <w:pPr>
        <w:spacing w:after="0" w:line="240" w:lineRule="auto"/>
        <w:jc w:val="center"/>
        <w:rPr>
          <w:rFonts w:ascii="Arial" w:hAnsi="Arial" w:cs="Arial"/>
          <w:sz w:val="24"/>
          <w:szCs w:val="24"/>
        </w:rPr>
      </w:pPr>
    </w:p>
    <w:p w:rsidR="00E07D7B" w:rsidRPr="00EF390B" w:rsidRDefault="00E07D7B" w:rsidP="00E07D7B">
      <w:pPr>
        <w:spacing w:after="0" w:line="240" w:lineRule="auto"/>
        <w:jc w:val="center"/>
        <w:rPr>
          <w:rFonts w:ascii="Arial" w:hAnsi="Arial" w:cs="Arial"/>
          <w:sz w:val="24"/>
          <w:szCs w:val="24"/>
        </w:rPr>
      </w:pPr>
      <w:r w:rsidRPr="00EF390B">
        <w:rPr>
          <w:rFonts w:ascii="Arial" w:hAnsi="Arial" w:cs="Arial"/>
          <w:sz w:val="24"/>
          <w:szCs w:val="24"/>
        </w:rPr>
        <w:t xml:space="preserve">Figura 4. </w:t>
      </w:r>
    </w:p>
    <w:p w:rsidR="00E07D7B" w:rsidRPr="00EF390B" w:rsidRDefault="0005132D" w:rsidP="00E07D7B">
      <w:pPr>
        <w:spacing w:after="0" w:line="240" w:lineRule="auto"/>
        <w:jc w:val="center"/>
        <w:rPr>
          <w:rFonts w:ascii="Arial" w:hAnsi="Arial" w:cs="Arial"/>
          <w:sz w:val="24"/>
          <w:szCs w:val="24"/>
        </w:rPr>
      </w:pPr>
      <w:r>
        <w:rPr>
          <w:rFonts w:ascii="Arial" w:hAnsi="Arial" w:cs="Arial"/>
          <w:sz w:val="24"/>
          <w:szCs w:val="24"/>
        </w:rPr>
        <w:t xml:space="preserve">Figura 5. </w:t>
      </w:r>
      <w:r w:rsidR="00E07D7B" w:rsidRPr="00EF390B">
        <w:rPr>
          <w:rFonts w:ascii="Arial" w:hAnsi="Arial" w:cs="Arial"/>
          <w:sz w:val="24"/>
          <w:szCs w:val="24"/>
        </w:rPr>
        <w:t>Claustro según formación académica y científica. Datos comparativos 2013-2018.</w:t>
      </w:r>
    </w:p>
    <w:p w:rsidR="00E07D7B" w:rsidRPr="00EF390B" w:rsidRDefault="00E07D7B" w:rsidP="00E07D7B">
      <w:pPr>
        <w:spacing w:after="0" w:line="240" w:lineRule="auto"/>
        <w:jc w:val="center"/>
        <w:rPr>
          <w:rFonts w:ascii="Arial" w:hAnsi="Arial" w:cs="Arial"/>
          <w:sz w:val="24"/>
          <w:szCs w:val="24"/>
        </w:rPr>
      </w:pPr>
    </w:p>
    <w:p w:rsidR="00E07D7B" w:rsidRPr="00EF390B" w:rsidRDefault="00E07D7B" w:rsidP="00E07D7B">
      <w:pPr>
        <w:tabs>
          <w:tab w:val="left" w:pos="1360"/>
        </w:tabs>
        <w:jc w:val="center"/>
        <w:rPr>
          <w:rFonts w:ascii="Arial" w:hAnsi="Arial" w:cs="Arial"/>
          <w:sz w:val="24"/>
          <w:szCs w:val="24"/>
        </w:rPr>
      </w:pPr>
      <w:r w:rsidRPr="00EF390B">
        <w:rPr>
          <w:rFonts w:ascii="Arial" w:hAnsi="Arial" w:cs="Arial"/>
          <w:noProof/>
          <w:sz w:val="24"/>
          <w:szCs w:val="24"/>
          <w:lang w:eastAsia="es-ES"/>
        </w:rPr>
        <w:drawing>
          <wp:inline distT="0" distB="0" distL="0" distR="0">
            <wp:extent cx="3771900" cy="17716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007D2" w:rsidRDefault="008007D2" w:rsidP="008007D2">
      <w:pPr>
        <w:spacing w:after="0" w:line="240" w:lineRule="auto"/>
        <w:jc w:val="center"/>
        <w:rPr>
          <w:rFonts w:ascii="Arial" w:hAnsi="Arial" w:cs="Arial"/>
          <w:sz w:val="24"/>
          <w:szCs w:val="24"/>
        </w:rPr>
      </w:pPr>
      <w:r w:rsidRPr="00EF390B">
        <w:rPr>
          <w:rFonts w:ascii="Arial" w:hAnsi="Arial" w:cs="Arial"/>
          <w:sz w:val="24"/>
          <w:szCs w:val="24"/>
        </w:rPr>
        <w:t>Fuente: Departamento de Cuadros</w:t>
      </w:r>
      <w:r w:rsidRPr="00EF390B">
        <w:rPr>
          <w:rFonts w:ascii="Arial" w:hAnsi="Arial" w:cs="Arial"/>
          <w:sz w:val="24"/>
          <w:szCs w:val="24"/>
        </w:rPr>
        <w:br/>
      </w:r>
    </w:p>
    <w:p w:rsidR="00D91142" w:rsidRDefault="00D91142" w:rsidP="00D91142">
      <w:pPr>
        <w:spacing w:after="0" w:line="240" w:lineRule="auto"/>
        <w:jc w:val="center"/>
        <w:rPr>
          <w:rFonts w:ascii="Arial" w:hAnsi="Arial" w:cs="Arial"/>
          <w:sz w:val="24"/>
          <w:szCs w:val="24"/>
        </w:rPr>
      </w:pPr>
    </w:p>
    <w:p w:rsidR="00D91142" w:rsidRPr="00D91142" w:rsidRDefault="00D91142" w:rsidP="00D91142">
      <w:pPr>
        <w:jc w:val="center"/>
        <w:rPr>
          <w:rFonts w:ascii="Arial" w:hAnsi="Arial" w:cs="Arial"/>
          <w:sz w:val="24"/>
          <w:szCs w:val="24"/>
        </w:rPr>
      </w:pPr>
      <w:r w:rsidRPr="00D91142">
        <w:rPr>
          <w:rFonts w:ascii="Arial" w:hAnsi="Arial" w:cs="Arial"/>
          <w:sz w:val="24"/>
          <w:szCs w:val="24"/>
        </w:rPr>
        <w:lastRenderedPageBreak/>
        <w:t>Tabla 1. Índices de publicaciones promedio por profesor y % de profesores con más de 3 publicaciones. Datos comparativos 2013-2018</w:t>
      </w:r>
    </w:p>
    <w:tbl>
      <w:tblPr>
        <w:tblStyle w:val="ListTable6Colorful-Accent11"/>
        <w:tblW w:w="0" w:type="auto"/>
        <w:jc w:val="center"/>
        <w:tblLook w:val="04A0"/>
      </w:tblPr>
      <w:tblGrid>
        <w:gridCol w:w="1058"/>
        <w:gridCol w:w="1635"/>
        <w:gridCol w:w="1449"/>
        <w:gridCol w:w="1600"/>
        <w:gridCol w:w="712"/>
        <w:gridCol w:w="1000"/>
        <w:gridCol w:w="1600"/>
      </w:tblGrid>
      <w:tr w:rsidR="00D91142" w:rsidRPr="00D91142" w:rsidTr="00C20230">
        <w:trPr>
          <w:cnfStyle w:val="100000000000"/>
          <w:jc w:val="center"/>
        </w:trPr>
        <w:tc>
          <w:tcPr>
            <w:cnfStyle w:val="001000000000"/>
            <w:tcW w:w="986" w:type="dxa"/>
          </w:tcPr>
          <w:p w:rsidR="00D91142" w:rsidRPr="00D91142" w:rsidRDefault="00D91142" w:rsidP="00C20230">
            <w:pPr>
              <w:spacing w:after="0" w:line="240" w:lineRule="auto"/>
              <w:jc w:val="center"/>
              <w:rPr>
                <w:rFonts w:ascii="Arial" w:hAnsi="Arial" w:cs="Arial"/>
                <w:color w:val="auto"/>
                <w:szCs w:val="24"/>
              </w:rPr>
            </w:pPr>
            <w:r w:rsidRPr="00D91142">
              <w:rPr>
                <w:rFonts w:ascii="Arial" w:hAnsi="Arial" w:cs="Arial"/>
                <w:color w:val="auto"/>
                <w:szCs w:val="24"/>
              </w:rPr>
              <w:t>Índices por profesor</w:t>
            </w:r>
          </w:p>
        </w:tc>
        <w:tc>
          <w:tcPr>
            <w:tcW w:w="1431" w:type="dxa"/>
          </w:tcPr>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Referenciadas</w:t>
            </w:r>
          </w:p>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 textos</w:t>
            </w:r>
          </w:p>
        </w:tc>
        <w:tc>
          <w:tcPr>
            <w:tcW w:w="1320" w:type="dxa"/>
          </w:tcPr>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Monografías</w:t>
            </w:r>
          </w:p>
        </w:tc>
        <w:tc>
          <w:tcPr>
            <w:tcW w:w="1381" w:type="dxa"/>
          </w:tcPr>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Otras publicaciones</w:t>
            </w:r>
          </w:p>
        </w:tc>
        <w:tc>
          <w:tcPr>
            <w:tcW w:w="744" w:type="dxa"/>
          </w:tcPr>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Total</w:t>
            </w:r>
          </w:p>
        </w:tc>
        <w:tc>
          <w:tcPr>
            <w:tcW w:w="956" w:type="dxa"/>
          </w:tcPr>
          <w:p w:rsidR="00D91142" w:rsidRPr="00D91142" w:rsidRDefault="00D91142" w:rsidP="00C20230">
            <w:pPr>
              <w:spacing w:after="0" w:line="240" w:lineRule="auto"/>
              <w:jc w:val="center"/>
              <w:cnfStyle w:val="100000000000"/>
              <w:rPr>
                <w:rFonts w:ascii="Arial" w:hAnsi="Arial" w:cs="Arial"/>
                <w:color w:val="auto"/>
                <w:szCs w:val="24"/>
                <w:lang w:val="en-US"/>
              </w:rPr>
            </w:pPr>
            <w:r w:rsidRPr="00D91142">
              <w:rPr>
                <w:rFonts w:ascii="Arial" w:hAnsi="Arial" w:cs="Arial"/>
                <w:color w:val="auto"/>
                <w:szCs w:val="24"/>
                <w:lang w:val="en-US"/>
              </w:rPr>
              <w:t>Web of Science y BDI</w:t>
            </w:r>
          </w:p>
        </w:tc>
        <w:tc>
          <w:tcPr>
            <w:tcW w:w="1367" w:type="dxa"/>
          </w:tcPr>
          <w:p w:rsidR="00D91142" w:rsidRPr="00D91142" w:rsidRDefault="00D91142" w:rsidP="00C20230">
            <w:pPr>
              <w:spacing w:after="0" w:line="240" w:lineRule="auto"/>
              <w:jc w:val="center"/>
              <w:cnfStyle w:val="100000000000"/>
              <w:rPr>
                <w:rFonts w:ascii="Arial" w:hAnsi="Arial" w:cs="Arial"/>
                <w:color w:val="auto"/>
                <w:szCs w:val="24"/>
              </w:rPr>
            </w:pPr>
            <w:r w:rsidRPr="00D91142">
              <w:rPr>
                <w:rFonts w:ascii="Arial" w:hAnsi="Arial" w:cs="Arial"/>
                <w:color w:val="auto"/>
                <w:szCs w:val="24"/>
              </w:rPr>
              <w:t xml:space="preserve">% con más de 3 publicaciones </w:t>
            </w:r>
          </w:p>
        </w:tc>
      </w:tr>
      <w:tr w:rsidR="00D91142" w:rsidRPr="00D91142" w:rsidTr="00C20230">
        <w:trPr>
          <w:cnfStyle w:val="000000100000"/>
          <w:trHeight w:val="283"/>
          <w:jc w:val="center"/>
        </w:trPr>
        <w:tc>
          <w:tcPr>
            <w:cnfStyle w:val="001000000000"/>
            <w:tcW w:w="986" w:type="dxa"/>
          </w:tcPr>
          <w:p w:rsidR="00D91142" w:rsidRPr="00D91142" w:rsidRDefault="00D91142" w:rsidP="00C20230">
            <w:pPr>
              <w:spacing w:after="0" w:line="240" w:lineRule="auto"/>
              <w:jc w:val="center"/>
              <w:rPr>
                <w:rFonts w:ascii="Arial" w:hAnsi="Arial" w:cs="Arial"/>
                <w:color w:val="auto"/>
                <w:szCs w:val="24"/>
              </w:rPr>
            </w:pPr>
            <w:r w:rsidRPr="00D91142">
              <w:rPr>
                <w:rFonts w:ascii="Arial" w:hAnsi="Arial" w:cs="Arial"/>
                <w:color w:val="auto"/>
                <w:szCs w:val="24"/>
              </w:rPr>
              <w:t>2013</w:t>
            </w:r>
          </w:p>
        </w:tc>
        <w:tc>
          <w:tcPr>
            <w:tcW w:w="1431" w:type="dxa"/>
          </w:tcPr>
          <w:p w:rsidR="00D91142" w:rsidRPr="00D91142" w:rsidRDefault="00D91142" w:rsidP="00C20230">
            <w:pPr>
              <w:spacing w:after="0" w:line="240" w:lineRule="auto"/>
              <w:jc w:val="center"/>
              <w:cnfStyle w:val="000000100000"/>
              <w:rPr>
                <w:rFonts w:ascii="Arial" w:hAnsi="Arial" w:cs="Arial"/>
                <w:b/>
                <w:color w:val="auto"/>
                <w:szCs w:val="24"/>
              </w:rPr>
            </w:pPr>
            <w:r w:rsidRPr="00D91142">
              <w:rPr>
                <w:rFonts w:ascii="Arial" w:hAnsi="Arial" w:cs="Arial"/>
                <w:b/>
                <w:color w:val="auto"/>
                <w:szCs w:val="24"/>
              </w:rPr>
              <w:t>3,02</w:t>
            </w:r>
          </w:p>
        </w:tc>
        <w:tc>
          <w:tcPr>
            <w:tcW w:w="1320" w:type="dxa"/>
          </w:tcPr>
          <w:p w:rsidR="00D91142" w:rsidRPr="00D91142" w:rsidRDefault="00D91142" w:rsidP="00C20230">
            <w:pPr>
              <w:spacing w:after="0" w:line="240" w:lineRule="auto"/>
              <w:jc w:val="center"/>
              <w:cnfStyle w:val="000000100000"/>
              <w:rPr>
                <w:rFonts w:ascii="Arial" w:hAnsi="Arial" w:cs="Arial"/>
                <w:color w:val="auto"/>
                <w:szCs w:val="24"/>
              </w:rPr>
            </w:pPr>
            <w:r w:rsidRPr="00D91142">
              <w:rPr>
                <w:rFonts w:ascii="Arial" w:hAnsi="Arial" w:cs="Arial"/>
                <w:color w:val="auto"/>
                <w:szCs w:val="24"/>
              </w:rPr>
              <w:t>0,02</w:t>
            </w:r>
          </w:p>
        </w:tc>
        <w:tc>
          <w:tcPr>
            <w:tcW w:w="1381" w:type="dxa"/>
          </w:tcPr>
          <w:p w:rsidR="00D91142" w:rsidRPr="00D91142" w:rsidRDefault="00D91142" w:rsidP="00C20230">
            <w:pPr>
              <w:spacing w:after="0" w:line="240" w:lineRule="auto"/>
              <w:jc w:val="center"/>
              <w:cnfStyle w:val="000000100000"/>
              <w:rPr>
                <w:rFonts w:ascii="Arial" w:hAnsi="Arial" w:cs="Arial"/>
                <w:color w:val="auto"/>
                <w:szCs w:val="24"/>
              </w:rPr>
            </w:pPr>
            <w:r w:rsidRPr="00D91142">
              <w:rPr>
                <w:rFonts w:ascii="Arial" w:hAnsi="Arial" w:cs="Arial"/>
                <w:color w:val="auto"/>
                <w:szCs w:val="24"/>
              </w:rPr>
              <w:t xml:space="preserve">1,00 </w:t>
            </w:r>
          </w:p>
        </w:tc>
        <w:tc>
          <w:tcPr>
            <w:tcW w:w="744" w:type="dxa"/>
          </w:tcPr>
          <w:p w:rsidR="00D91142" w:rsidRPr="00D91142" w:rsidRDefault="00D91142" w:rsidP="00C20230">
            <w:pPr>
              <w:spacing w:after="0" w:line="240" w:lineRule="auto"/>
              <w:jc w:val="center"/>
              <w:cnfStyle w:val="000000100000"/>
              <w:rPr>
                <w:rFonts w:ascii="Arial" w:hAnsi="Arial" w:cs="Arial"/>
                <w:color w:val="auto"/>
                <w:szCs w:val="24"/>
              </w:rPr>
            </w:pPr>
            <w:r w:rsidRPr="00D91142">
              <w:rPr>
                <w:rFonts w:ascii="Arial" w:hAnsi="Arial" w:cs="Arial"/>
                <w:color w:val="auto"/>
                <w:szCs w:val="24"/>
              </w:rPr>
              <w:t>4,04</w:t>
            </w:r>
          </w:p>
        </w:tc>
        <w:tc>
          <w:tcPr>
            <w:tcW w:w="956" w:type="dxa"/>
          </w:tcPr>
          <w:p w:rsidR="00D91142" w:rsidRPr="00D91142" w:rsidRDefault="00D91142" w:rsidP="00C20230">
            <w:pPr>
              <w:spacing w:after="0" w:line="240" w:lineRule="auto"/>
              <w:jc w:val="center"/>
              <w:cnfStyle w:val="000000100000"/>
              <w:rPr>
                <w:rFonts w:ascii="Arial" w:hAnsi="Arial" w:cs="Arial"/>
                <w:color w:val="auto"/>
                <w:szCs w:val="24"/>
              </w:rPr>
            </w:pPr>
            <w:r w:rsidRPr="00D91142">
              <w:rPr>
                <w:rFonts w:ascii="Arial" w:hAnsi="Arial" w:cs="Arial"/>
                <w:color w:val="auto"/>
                <w:szCs w:val="24"/>
              </w:rPr>
              <w:t>1,14</w:t>
            </w:r>
          </w:p>
        </w:tc>
        <w:tc>
          <w:tcPr>
            <w:tcW w:w="1367" w:type="dxa"/>
          </w:tcPr>
          <w:p w:rsidR="00D91142" w:rsidRPr="00D91142" w:rsidRDefault="00D91142" w:rsidP="00C20230">
            <w:pPr>
              <w:spacing w:after="0" w:line="240" w:lineRule="auto"/>
              <w:jc w:val="center"/>
              <w:cnfStyle w:val="000000100000"/>
              <w:rPr>
                <w:rFonts w:ascii="Arial" w:hAnsi="Arial" w:cs="Arial"/>
                <w:color w:val="auto"/>
                <w:szCs w:val="24"/>
              </w:rPr>
            </w:pPr>
            <w:r w:rsidRPr="00D91142">
              <w:rPr>
                <w:rFonts w:ascii="Arial" w:hAnsi="Arial" w:cs="Arial"/>
                <w:color w:val="auto"/>
                <w:szCs w:val="24"/>
              </w:rPr>
              <w:t>83,63%</w:t>
            </w:r>
          </w:p>
        </w:tc>
      </w:tr>
      <w:tr w:rsidR="00D91142" w:rsidRPr="00D91142" w:rsidTr="00C20230">
        <w:trPr>
          <w:trHeight w:val="266"/>
          <w:jc w:val="center"/>
        </w:trPr>
        <w:tc>
          <w:tcPr>
            <w:cnfStyle w:val="001000000000"/>
            <w:tcW w:w="986" w:type="dxa"/>
          </w:tcPr>
          <w:p w:rsidR="00D91142" w:rsidRPr="00D91142" w:rsidRDefault="00D91142" w:rsidP="00C20230">
            <w:pPr>
              <w:spacing w:after="0" w:line="240" w:lineRule="auto"/>
              <w:jc w:val="center"/>
              <w:rPr>
                <w:rFonts w:ascii="Arial" w:hAnsi="Arial" w:cs="Arial"/>
                <w:color w:val="auto"/>
                <w:szCs w:val="24"/>
              </w:rPr>
            </w:pPr>
            <w:r w:rsidRPr="00D91142">
              <w:rPr>
                <w:rFonts w:ascii="Arial" w:hAnsi="Arial" w:cs="Arial"/>
                <w:color w:val="auto"/>
                <w:szCs w:val="24"/>
              </w:rPr>
              <w:t>2018</w:t>
            </w:r>
          </w:p>
        </w:tc>
        <w:tc>
          <w:tcPr>
            <w:tcW w:w="1431"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3,83</w:t>
            </w:r>
          </w:p>
        </w:tc>
        <w:tc>
          <w:tcPr>
            <w:tcW w:w="1320"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0,02</w:t>
            </w:r>
          </w:p>
        </w:tc>
        <w:tc>
          <w:tcPr>
            <w:tcW w:w="1381"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0,17</w:t>
            </w:r>
          </w:p>
        </w:tc>
        <w:tc>
          <w:tcPr>
            <w:tcW w:w="744"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4,02</w:t>
            </w:r>
          </w:p>
        </w:tc>
        <w:tc>
          <w:tcPr>
            <w:tcW w:w="956"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1,74</w:t>
            </w:r>
          </w:p>
        </w:tc>
        <w:tc>
          <w:tcPr>
            <w:tcW w:w="1367" w:type="dxa"/>
          </w:tcPr>
          <w:p w:rsidR="00D91142" w:rsidRPr="00D91142" w:rsidRDefault="00D91142" w:rsidP="00C20230">
            <w:pPr>
              <w:spacing w:after="0" w:line="240" w:lineRule="auto"/>
              <w:jc w:val="center"/>
              <w:cnfStyle w:val="000000000000"/>
              <w:rPr>
                <w:rFonts w:ascii="Arial" w:hAnsi="Arial" w:cs="Arial"/>
                <w:color w:val="auto"/>
                <w:szCs w:val="24"/>
              </w:rPr>
            </w:pPr>
            <w:r w:rsidRPr="00D91142">
              <w:rPr>
                <w:rFonts w:ascii="Arial" w:hAnsi="Arial" w:cs="Arial"/>
                <w:color w:val="auto"/>
                <w:szCs w:val="24"/>
              </w:rPr>
              <w:t>92,52%</w:t>
            </w:r>
          </w:p>
        </w:tc>
      </w:tr>
    </w:tbl>
    <w:p w:rsidR="00D91142" w:rsidRPr="00D91142" w:rsidRDefault="00D91142" w:rsidP="00D91142">
      <w:pPr>
        <w:jc w:val="center"/>
        <w:rPr>
          <w:rFonts w:ascii="Arial" w:hAnsi="Arial" w:cs="Arial"/>
          <w:sz w:val="24"/>
          <w:szCs w:val="24"/>
        </w:rPr>
      </w:pPr>
      <w:r w:rsidRPr="00D91142">
        <w:rPr>
          <w:rFonts w:ascii="Arial" w:hAnsi="Arial" w:cs="Arial"/>
          <w:sz w:val="24"/>
          <w:szCs w:val="24"/>
        </w:rPr>
        <w:t>Fuente: base de datos</w:t>
      </w:r>
    </w:p>
    <w:p w:rsidR="00D91142" w:rsidRPr="00D91142" w:rsidRDefault="00D91142" w:rsidP="00D91142">
      <w:pPr>
        <w:spacing w:after="0" w:line="240" w:lineRule="auto"/>
        <w:jc w:val="center"/>
        <w:rPr>
          <w:rFonts w:ascii="Arial" w:hAnsi="Arial" w:cs="Arial"/>
          <w:sz w:val="24"/>
          <w:szCs w:val="24"/>
        </w:rPr>
      </w:pPr>
    </w:p>
    <w:p w:rsidR="00D91142" w:rsidRPr="00D91142" w:rsidRDefault="00D91142" w:rsidP="00D91142">
      <w:pPr>
        <w:spacing w:after="0" w:line="240" w:lineRule="auto"/>
        <w:jc w:val="center"/>
        <w:rPr>
          <w:rFonts w:ascii="Arial" w:hAnsi="Arial" w:cs="Arial"/>
          <w:sz w:val="24"/>
          <w:szCs w:val="24"/>
        </w:rPr>
      </w:pPr>
    </w:p>
    <w:p w:rsidR="00D91142" w:rsidRPr="00D91142" w:rsidRDefault="00D91142" w:rsidP="00D91142">
      <w:pPr>
        <w:spacing w:after="0" w:line="240" w:lineRule="auto"/>
        <w:jc w:val="center"/>
        <w:rPr>
          <w:rFonts w:ascii="Arial" w:hAnsi="Arial" w:cs="Arial"/>
          <w:sz w:val="24"/>
          <w:szCs w:val="24"/>
        </w:rPr>
      </w:pPr>
    </w:p>
    <w:p w:rsidR="00D91142" w:rsidRPr="00D91142" w:rsidRDefault="00D91142" w:rsidP="00D91142">
      <w:pPr>
        <w:spacing w:after="0" w:line="240" w:lineRule="auto"/>
        <w:jc w:val="center"/>
        <w:rPr>
          <w:rFonts w:ascii="Arial" w:hAnsi="Arial" w:cs="Arial"/>
          <w:sz w:val="24"/>
          <w:szCs w:val="24"/>
        </w:rPr>
      </w:pPr>
    </w:p>
    <w:p w:rsidR="00D91142" w:rsidRPr="00D91142" w:rsidRDefault="00D91142" w:rsidP="00D91142">
      <w:pPr>
        <w:spacing w:after="0" w:line="240" w:lineRule="auto"/>
        <w:jc w:val="center"/>
        <w:rPr>
          <w:rFonts w:ascii="Arial" w:hAnsi="Arial" w:cs="Arial"/>
          <w:sz w:val="24"/>
          <w:szCs w:val="24"/>
        </w:rPr>
      </w:pPr>
      <w:r w:rsidRPr="00D91142">
        <w:rPr>
          <w:rFonts w:ascii="Arial" w:hAnsi="Arial" w:cs="Arial"/>
          <w:sz w:val="24"/>
          <w:szCs w:val="24"/>
        </w:rPr>
        <w:t>Tabla 2. Índice de presentación de ponencias promedio en eventos científicos por profesor. Datos comparativos 2013-2018</w:t>
      </w:r>
    </w:p>
    <w:p w:rsidR="00D91142" w:rsidRPr="00D91142" w:rsidRDefault="00D91142" w:rsidP="00D91142">
      <w:pPr>
        <w:spacing w:after="0" w:line="240" w:lineRule="auto"/>
        <w:rPr>
          <w:rFonts w:ascii="Arial" w:hAnsi="Arial" w:cs="Arial"/>
          <w:sz w:val="24"/>
          <w:szCs w:val="24"/>
        </w:rPr>
      </w:pPr>
    </w:p>
    <w:tbl>
      <w:tblPr>
        <w:tblStyle w:val="ListTable6Colorful-Accent11"/>
        <w:tblW w:w="7887" w:type="dxa"/>
        <w:tblInd w:w="481" w:type="dxa"/>
        <w:tblLook w:val="04A0"/>
      </w:tblPr>
      <w:tblGrid>
        <w:gridCol w:w="1048"/>
        <w:gridCol w:w="1523"/>
        <w:gridCol w:w="1483"/>
        <w:gridCol w:w="967"/>
        <w:gridCol w:w="967"/>
        <w:gridCol w:w="883"/>
        <w:gridCol w:w="1016"/>
      </w:tblGrid>
      <w:tr w:rsidR="00D91142" w:rsidRPr="00D91142" w:rsidTr="005A56A9">
        <w:trPr>
          <w:cnfStyle w:val="100000000000"/>
          <w:trHeight w:val="281"/>
        </w:trPr>
        <w:tc>
          <w:tcPr>
            <w:cnfStyle w:val="001000000000"/>
            <w:tcW w:w="1048" w:type="dxa"/>
            <w:noWrap/>
          </w:tcPr>
          <w:p w:rsidR="00D91142" w:rsidRPr="00D91142" w:rsidRDefault="00D91142" w:rsidP="00C20230">
            <w:pPr>
              <w:spacing w:after="0" w:line="240" w:lineRule="auto"/>
              <w:jc w:val="center"/>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AÑ0</w:t>
            </w:r>
          </w:p>
        </w:tc>
        <w:tc>
          <w:tcPr>
            <w:tcW w:w="1523"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INTERNAC.</w:t>
            </w:r>
          </w:p>
        </w:tc>
        <w:tc>
          <w:tcPr>
            <w:tcW w:w="1483"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NACIONAL</w:t>
            </w:r>
          </w:p>
        </w:tc>
        <w:tc>
          <w:tcPr>
            <w:tcW w:w="967"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PROV</w:t>
            </w:r>
          </w:p>
        </w:tc>
        <w:tc>
          <w:tcPr>
            <w:tcW w:w="967"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MUN</w:t>
            </w:r>
          </w:p>
        </w:tc>
        <w:tc>
          <w:tcPr>
            <w:tcW w:w="883"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BASE</w:t>
            </w:r>
          </w:p>
        </w:tc>
        <w:tc>
          <w:tcPr>
            <w:tcW w:w="1016" w:type="dxa"/>
            <w:noWrap/>
          </w:tcPr>
          <w:p w:rsidR="00D91142" w:rsidRPr="00D91142" w:rsidRDefault="00D91142" w:rsidP="00C20230">
            <w:pPr>
              <w:spacing w:after="0" w:line="240" w:lineRule="auto"/>
              <w:jc w:val="center"/>
              <w:cnfStyle w:val="100000000000"/>
              <w:rPr>
                <w:rFonts w:ascii="Arial" w:hAnsi="Arial" w:cs="Arial"/>
                <w:bCs w:val="0"/>
                <w:color w:val="auto"/>
                <w:sz w:val="24"/>
                <w:szCs w:val="24"/>
                <w:lang w:val="es-ES_tradnl" w:eastAsia="es-ES_tradnl"/>
              </w:rPr>
            </w:pPr>
            <w:r w:rsidRPr="00D91142">
              <w:rPr>
                <w:rFonts w:ascii="Arial" w:hAnsi="Arial" w:cs="Arial"/>
                <w:bCs w:val="0"/>
                <w:color w:val="auto"/>
                <w:sz w:val="24"/>
                <w:szCs w:val="24"/>
                <w:lang w:val="es-ES_tradnl" w:eastAsia="es-ES_tradnl"/>
              </w:rPr>
              <w:t>TOTAL</w:t>
            </w:r>
          </w:p>
        </w:tc>
      </w:tr>
      <w:tr w:rsidR="00D91142" w:rsidRPr="00D91142" w:rsidTr="005A56A9">
        <w:trPr>
          <w:cnfStyle w:val="000000100000"/>
          <w:trHeight w:val="396"/>
        </w:trPr>
        <w:tc>
          <w:tcPr>
            <w:cnfStyle w:val="001000000000"/>
            <w:tcW w:w="1048" w:type="dxa"/>
            <w:noWrap/>
          </w:tcPr>
          <w:p w:rsidR="00D91142" w:rsidRPr="00D91142" w:rsidRDefault="00D91142" w:rsidP="00C20230">
            <w:pPr>
              <w:spacing w:after="0" w:line="240" w:lineRule="auto"/>
              <w:jc w:val="center"/>
              <w:rPr>
                <w:rFonts w:ascii="Arial" w:hAnsi="Arial" w:cs="Arial"/>
                <w:color w:val="auto"/>
                <w:sz w:val="24"/>
                <w:szCs w:val="24"/>
                <w:lang w:val="es-ES_tradnl" w:eastAsia="es-ES_tradnl"/>
              </w:rPr>
            </w:pPr>
            <w:r w:rsidRPr="00D91142">
              <w:rPr>
                <w:rFonts w:ascii="Arial" w:hAnsi="Arial" w:cs="Arial"/>
                <w:color w:val="auto"/>
                <w:sz w:val="24"/>
                <w:szCs w:val="24"/>
                <w:lang w:val="es-ES_tradnl" w:eastAsia="es-ES_tradnl"/>
              </w:rPr>
              <w:t>2013</w:t>
            </w:r>
          </w:p>
        </w:tc>
        <w:tc>
          <w:tcPr>
            <w:tcW w:w="1523"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2,81</w:t>
            </w:r>
          </w:p>
        </w:tc>
        <w:tc>
          <w:tcPr>
            <w:tcW w:w="1483"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0,71</w:t>
            </w:r>
          </w:p>
        </w:tc>
        <w:tc>
          <w:tcPr>
            <w:tcW w:w="967"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3,15</w:t>
            </w:r>
          </w:p>
        </w:tc>
        <w:tc>
          <w:tcPr>
            <w:tcW w:w="967"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0,10</w:t>
            </w:r>
          </w:p>
        </w:tc>
        <w:tc>
          <w:tcPr>
            <w:tcW w:w="883"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4,12</w:t>
            </w:r>
          </w:p>
        </w:tc>
        <w:tc>
          <w:tcPr>
            <w:tcW w:w="1016" w:type="dxa"/>
            <w:noWrap/>
          </w:tcPr>
          <w:p w:rsidR="00D91142" w:rsidRPr="00D91142" w:rsidRDefault="00D91142" w:rsidP="00C20230">
            <w:pPr>
              <w:spacing w:after="0" w:line="240" w:lineRule="auto"/>
              <w:jc w:val="center"/>
              <w:cnfStyle w:val="000000100000"/>
              <w:rPr>
                <w:rFonts w:ascii="Arial" w:hAnsi="Arial" w:cs="Arial"/>
                <w:color w:val="auto"/>
                <w:sz w:val="24"/>
                <w:szCs w:val="24"/>
              </w:rPr>
            </w:pPr>
            <w:r w:rsidRPr="00D91142">
              <w:rPr>
                <w:rFonts w:ascii="Arial" w:hAnsi="Arial" w:cs="Arial"/>
                <w:color w:val="auto"/>
                <w:sz w:val="24"/>
                <w:szCs w:val="24"/>
              </w:rPr>
              <w:t>10,89</w:t>
            </w:r>
          </w:p>
        </w:tc>
      </w:tr>
      <w:tr w:rsidR="00D91142" w:rsidRPr="00D91142" w:rsidTr="005A56A9">
        <w:trPr>
          <w:trHeight w:val="396"/>
        </w:trPr>
        <w:tc>
          <w:tcPr>
            <w:cnfStyle w:val="001000000000"/>
            <w:tcW w:w="1048" w:type="dxa"/>
            <w:noWrap/>
          </w:tcPr>
          <w:p w:rsidR="00D91142" w:rsidRPr="00D91142" w:rsidRDefault="00D91142" w:rsidP="00C20230">
            <w:pPr>
              <w:spacing w:after="0" w:line="240" w:lineRule="auto"/>
              <w:jc w:val="center"/>
              <w:rPr>
                <w:rFonts w:ascii="Arial" w:hAnsi="Arial" w:cs="Arial"/>
                <w:b w:val="0"/>
                <w:bCs w:val="0"/>
                <w:color w:val="auto"/>
                <w:sz w:val="24"/>
                <w:szCs w:val="24"/>
                <w:lang w:val="es-ES_tradnl" w:eastAsia="es-ES_tradnl"/>
              </w:rPr>
            </w:pPr>
            <w:r w:rsidRPr="00D91142">
              <w:rPr>
                <w:rFonts w:ascii="Arial" w:hAnsi="Arial" w:cs="Arial"/>
                <w:b w:val="0"/>
                <w:bCs w:val="0"/>
                <w:color w:val="auto"/>
                <w:sz w:val="24"/>
                <w:szCs w:val="24"/>
                <w:lang w:val="es-ES_tradnl" w:eastAsia="es-ES_tradnl"/>
              </w:rPr>
              <w:t>2018</w:t>
            </w:r>
          </w:p>
        </w:tc>
        <w:tc>
          <w:tcPr>
            <w:tcW w:w="1523"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2,38</w:t>
            </w:r>
          </w:p>
        </w:tc>
        <w:tc>
          <w:tcPr>
            <w:tcW w:w="1483"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1,14</w:t>
            </w:r>
          </w:p>
        </w:tc>
        <w:tc>
          <w:tcPr>
            <w:tcW w:w="967"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2,49</w:t>
            </w:r>
          </w:p>
        </w:tc>
        <w:tc>
          <w:tcPr>
            <w:tcW w:w="967"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0,13</w:t>
            </w:r>
          </w:p>
        </w:tc>
        <w:tc>
          <w:tcPr>
            <w:tcW w:w="883"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7,59</w:t>
            </w:r>
          </w:p>
        </w:tc>
        <w:tc>
          <w:tcPr>
            <w:tcW w:w="1016" w:type="dxa"/>
            <w:noWrap/>
          </w:tcPr>
          <w:p w:rsidR="00D91142" w:rsidRPr="00D91142" w:rsidRDefault="00D91142" w:rsidP="00C20230">
            <w:pPr>
              <w:spacing w:after="0" w:line="240" w:lineRule="auto"/>
              <w:jc w:val="center"/>
              <w:cnfStyle w:val="000000000000"/>
              <w:rPr>
                <w:rFonts w:ascii="Arial" w:hAnsi="Arial" w:cs="Arial"/>
                <w:color w:val="auto"/>
                <w:sz w:val="24"/>
                <w:szCs w:val="24"/>
              </w:rPr>
            </w:pPr>
            <w:r w:rsidRPr="00D91142">
              <w:rPr>
                <w:rFonts w:ascii="Arial" w:hAnsi="Arial" w:cs="Arial"/>
                <w:color w:val="auto"/>
                <w:sz w:val="24"/>
                <w:szCs w:val="24"/>
              </w:rPr>
              <w:t>13,73</w:t>
            </w:r>
          </w:p>
        </w:tc>
      </w:tr>
    </w:tbl>
    <w:p w:rsidR="00D91142" w:rsidRPr="00D91142" w:rsidRDefault="00D91142" w:rsidP="00D91142">
      <w:pPr>
        <w:jc w:val="center"/>
        <w:rPr>
          <w:rFonts w:ascii="Arial" w:hAnsi="Arial" w:cs="Arial"/>
          <w:sz w:val="24"/>
          <w:szCs w:val="24"/>
        </w:rPr>
      </w:pPr>
      <w:r w:rsidRPr="00D91142">
        <w:rPr>
          <w:rFonts w:ascii="Arial" w:hAnsi="Arial" w:cs="Arial"/>
          <w:sz w:val="24"/>
          <w:szCs w:val="24"/>
        </w:rPr>
        <w:t>Fuente: base de datos</w:t>
      </w:r>
    </w:p>
    <w:p w:rsidR="00E07D7B" w:rsidRPr="00D91142" w:rsidRDefault="00E07D7B" w:rsidP="00E07D7B">
      <w:pPr>
        <w:tabs>
          <w:tab w:val="left" w:pos="-284"/>
        </w:tabs>
        <w:spacing w:after="0" w:line="480" w:lineRule="auto"/>
        <w:ind w:right="-72"/>
        <w:jc w:val="center"/>
        <w:rPr>
          <w:rFonts w:ascii="Arial" w:hAnsi="Arial" w:cs="Arial"/>
          <w:sz w:val="24"/>
          <w:szCs w:val="24"/>
        </w:rPr>
      </w:pPr>
    </w:p>
    <w:sectPr w:rsidR="00E07D7B" w:rsidRPr="00D91142" w:rsidSect="00E861BE">
      <w:footerReference w:type="default" r:id="rId23"/>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DB8" w:rsidRDefault="00C42DB8" w:rsidP="0075590F">
      <w:pPr>
        <w:spacing w:after="0" w:line="240" w:lineRule="auto"/>
      </w:pPr>
      <w:r>
        <w:separator/>
      </w:r>
    </w:p>
  </w:endnote>
  <w:endnote w:type="continuationSeparator" w:id="1">
    <w:p w:rsidR="00C42DB8" w:rsidRDefault="00C42DB8" w:rsidP="0075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555844"/>
      <w:docPartObj>
        <w:docPartGallery w:val="Page Numbers (Bottom of Page)"/>
        <w:docPartUnique/>
      </w:docPartObj>
    </w:sdtPr>
    <w:sdtEndPr>
      <w:rPr>
        <w:noProof/>
      </w:rPr>
    </w:sdtEndPr>
    <w:sdtContent>
      <w:p w:rsidR="0075590F" w:rsidRDefault="003743D4">
        <w:pPr>
          <w:pStyle w:val="Piedepgina"/>
          <w:jc w:val="right"/>
        </w:pPr>
        <w:r>
          <w:fldChar w:fldCharType="begin"/>
        </w:r>
        <w:r w:rsidR="0075590F">
          <w:instrText xml:space="preserve"> PAGE   \* MERGEFORMAT </w:instrText>
        </w:r>
        <w:r>
          <w:fldChar w:fldCharType="separate"/>
        </w:r>
        <w:r w:rsidR="006C5526">
          <w:rPr>
            <w:noProof/>
          </w:rPr>
          <w:t>10</w:t>
        </w:r>
        <w:r>
          <w:rPr>
            <w:noProof/>
          </w:rPr>
          <w:fldChar w:fldCharType="end"/>
        </w:r>
      </w:p>
    </w:sdtContent>
  </w:sdt>
  <w:p w:rsidR="0075590F" w:rsidRDefault="007559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DB8" w:rsidRDefault="00C42DB8" w:rsidP="0075590F">
      <w:pPr>
        <w:spacing w:after="0" w:line="240" w:lineRule="auto"/>
      </w:pPr>
      <w:r>
        <w:separator/>
      </w:r>
    </w:p>
  </w:footnote>
  <w:footnote w:type="continuationSeparator" w:id="1">
    <w:p w:rsidR="00C42DB8" w:rsidRDefault="00C42DB8" w:rsidP="00755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412"/>
    <w:multiLevelType w:val="hybridMultilevel"/>
    <w:tmpl w:val="1C5EBAC6"/>
    <w:lvl w:ilvl="0" w:tplc="B866A1EE">
      <w:start w:val="1"/>
      <w:numFmt w:val="decimal"/>
      <w:lvlText w:val="%1."/>
      <w:lvlJc w:val="left"/>
      <w:pPr>
        <w:ind w:left="360" w:hanging="360"/>
      </w:pPr>
      <w:rPr>
        <w:rFonts w:ascii="Arial" w:hAnsi="Arial" w:cs="Arial"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FC87EBF"/>
    <w:multiLevelType w:val="hybridMultilevel"/>
    <w:tmpl w:val="638C62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4595CD1"/>
    <w:multiLevelType w:val="hybridMultilevel"/>
    <w:tmpl w:val="338C0844"/>
    <w:lvl w:ilvl="0" w:tplc="39FAAFFA">
      <w:start w:val="1"/>
      <w:numFmt w:val="decimal"/>
      <w:lvlText w:val="%1."/>
      <w:lvlJc w:val="left"/>
      <w:pPr>
        <w:ind w:left="360" w:hanging="360"/>
      </w:pPr>
      <w:rPr>
        <w:b w:val="0"/>
        <w:sz w:val="24"/>
        <w:szCs w:val="24"/>
        <w:vertAlign w:val="baseline"/>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861BE"/>
    <w:rsid w:val="0000703E"/>
    <w:rsid w:val="0002719B"/>
    <w:rsid w:val="0005132D"/>
    <w:rsid w:val="000749F5"/>
    <w:rsid w:val="000B15FA"/>
    <w:rsid w:val="000C0A35"/>
    <w:rsid w:val="000E056F"/>
    <w:rsid w:val="000F1788"/>
    <w:rsid w:val="000F6471"/>
    <w:rsid w:val="001058A1"/>
    <w:rsid w:val="001156E5"/>
    <w:rsid w:val="00132E3F"/>
    <w:rsid w:val="00160319"/>
    <w:rsid w:val="00166E3E"/>
    <w:rsid w:val="00174936"/>
    <w:rsid w:val="001819D2"/>
    <w:rsid w:val="001935C5"/>
    <w:rsid w:val="001955E9"/>
    <w:rsid w:val="0019691D"/>
    <w:rsid w:val="001A5C2A"/>
    <w:rsid w:val="001A73EE"/>
    <w:rsid w:val="001C5198"/>
    <w:rsid w:val="001D3730"/>
    <w:rsid w:val="00201E19"/>
    <w:rsid w:val="00231537"/>
    <w:rsid w:val="002554F5"/>
    <w:rsid w:val="00291265"/>
    <w:rsid w:val="002B799B"/>
    <w:rsid w:val="002F273A"/>
    <w:rsid w:val="00306637"/>
    <w:rsid w:val="00325977"/>
    <w:rsid w:val="00355F71"/>
    <w:rsid w:val="003743D4"/>
    <w:rsid w:val="00380964"/>
    <w:rsid w:val="003875E3"/>
    <w:rsid w:val="00391CC5"/>
    <w:rsid w:val="003B4B77"/>
    <w:rsid w:val="003D5333"/>
    <w:rsid w:val="003F5FB1"/>
    <w:rsid w:val="003F6726"/>
    <w:rsid w:val="00402BC5"/>
    <w:rsid w:val="0040310D"/>
    <w:rsid w:val="00403562"/>
    <w:rsid w:val="00421E93"/>
    <w:rsid w:val="00453B29"/>
    <w:rsid w:val="00485019"/>
    <w:rsid w:val="00487344"/>
    <w:rsid w:val="004945A3"/>
    <w:rsid w:val="004A7538"/>
    <w:rsid w:val="004B6C6B"/>
    <w:rsid w:val="004C14D2"/>
    <w:rsid w:val="004E4EC3"/>
    <w:rsid w:val="004E5354"/>
    <w:rsid w:val="005009E5"/>
    <w:rsid w:val="005077DF"/>
    <w:rsid w:val="00513999"/>
    <w:rsid w:val="00527E9A"/>
    <w:rsid w:val="00536556"/>
    <w:rsid w:val="00563376"/>
    <w:rsid w:val="00565E4D"/>
    <w:rsid w:val="00571408"/>
    <w:rsid w:val="005A56A9"/>
    <w:rsid w:val="005B2692"/>
    <w:rsid w:val="005C1033"/>
    <w:rsid w:val="005C63B7"/>
    <w:rsid w:val="005C7A63"/>
    <w:rsid w:val="005E0083"/>
    <w:rsid w:val="005F1EDA"/>
    <w:rsid w:val="00607DF2"/>
    <w:rsid w:val="00610147"/>
    <w:rsid w:val="006153B6"/>
    <w:rsid w:val="006208A2"/>
    <w:rsid w:val="0064127E"/>
    <w:rsid w:val="00646EFB"/>
    <w:rsid w:val="0066207E"/>
    <w:rsid w:val="00664B7B"/>
    <w:rsid w:val="006A4685"/>
    <w:rsid w:val="006B18F2"/>
    <w:rsid w:val="006C3F4B"/>
    <w:rsid w:val="006C5526"/>
    <w:rsid w:val="006C5CB0"/>
    <w:rsid w:val="006C68AA"/>
    <w:rsid w:val="006F167D"/>
    <w:rsid w:val="0071247F"/>
    <w:rsid w:val="00714C34"/>
    <w:rsid w:val="00755390"/>
    <w:rsid w:val="0075590F"/>
    <w:rsid w:val="00777D59"/>
    <w:rsid w:val="00783B18"/>
    <w:rsid w:val="007A4C83"/>
    <w:rsid w:val="007C21B7"/>
    <w:rsid w:val="007D64D8"/>
    <w:rsid w:val="008007D2"/>
    <w:rsid w:val="00855B83"/>
    <w:rsid w:val="008656C3"/>
    <w:rsid w:val="008712AA"/>
    <w:rsid w:val="00874841"/>
    <w:rsid w:val="00892DBB"/>
    <w:rsid w:val="008971C1"/>
    <w:rsid w:val="008A42B3"/>
    <w:rsid w:val="008A65D6"/>
    <w:rsid w:val="008A7881"/>
    <w:rsid w:val="008D1CF1"/>
    <w:rsid w:val="008F78CB"/>
    <w:rsid w:val="008F78E4"/>
    <w:rsid w:val="00917E0B"/>
    <w:rsid w:val="009323B6"/>
    <w:rsid w:val="00932D50"/>
    <w:rsid w:val="009429D2"/>
    <w:rsid w:val="00972830"/>
    <w:rsid w:val="00987AD6"/>
    <w:rsid w:val="0099367B"/>
    <w:rsid w:val="00A117E0"/>
    <w:rsid w:val="00A239CB"/>
    <w:rsid w:val="00A375E4"/>
    <w:rsid w:val="00A44C08"/>
    <w:rsid w:val="00A46753"/>
    <w:rsid w:val="00A5174F"/>
    <w:rsid w:val="00A77CD0"/>
    <w:rsid w:val="00A90734"/>
    <w:rsid w:val="00AB7582"/>
    <w:rsid w:val="00AC2D60"/>
    <w:rsid w:val="00AC639C"/>
    <w:rsid w:val="00AD19AB"/>
    <w:rsid w:val="00AF0329"/>
    <w:rsid w:val="00B00A22"/>
    <w:rsid w:val="00B04B4B"/>
    <w:rsid w:val="00B04C1C"/>
    <w:rsid w:val="00B066F4"/>
    <w:rsid w:val="00B4428D"/>
    <w:rsid w:val="00B44478"/>
    <w:rsid w:val="00B54B9A"/>
    <w:rsid w:val="00B714DC"/>
    <w:rsid w:val="00B9476A"/>
    <w:rsid w:val="00BC5EFB"/>
    <w:rsid w:val="00BD4356"/>
    <w:rsid w:val="00BF56E1"/>
    <w:rsid w:val="00C163E8"/>
    <w:rsid w:val="00C17C1F"/>
    <w:rsid w:val="00C23E72"/>
    <w:rsid w:val="00C42DB8"/>
    <w:rsid w:val="00C5294D"/>
    <w:rsid w:val="00C75C3C"/>
    <w:rsid w:val="00C86DBF"/>
    <w:rsid w:val="00CD48B1"/>
    <w:rsid w:val="00CF4B9D"/>
    <w:rsid w:val="00D077B6"/>
    <w:rsid w:val="00D3527E"/>
    <w:rsid w:val="00D43746"/>
    <w:rsid w:val="00D57940"/>
    <w:rsid w:val="00D60EE7"/>
    <w:rsid w:val="00D67FA1"/>
    <w:rsid w:val="00D72DB3"/>
    <w:rsid w:val="00D91142"/>
    <w:rsid w:val="00DA08A7"/>
    <w:rsid w:val="00DC19FD"/>
    <w:rsid w:val="00DC609C"/>
    <w:rsid w:val="00DF0C14"/>
    <w:rsid w:val="00E03721"/>
    <w:rsid w:val="00E0459B"/>
    <w:rsid w:val="00E07D7B"/>
    <w:rsid w:val="00E160F0"/>
    <w:rsid w:val="00E26596"/>
    <w:rsid w:val="00E376F3"/>
    <w:rsid w:val="00E73680"/>
    <w:rsid w:val="00E8559B"/>
    <w:rsid w:val="00E861BE"/>
    <w:rsid w:val="00E922CB"/>
    <w:rsid w:val="00EB2F8F"/>
    <w:rsid w:val="00EC4E68"/>
    <w:rsid w:val="00EF390B"/>
    <w:rsid w:val="00EF7B36"/>
    <w:rsid w:val="00F25773"/>
    <w:rsid w:val="00F57C0C"/>
    <w:rsid w:val="00F6700F"/>
    <w:rsid w:val="00F778F4"/>
    <w:rsid w:val="00F95A5F"/>
    <w:rsid w:val="00FD09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1BE"/>
    <w:pPr>
      <w:spacing w:after="200" w:line="276" w:lineRule="auto"/>
    </w:pPr>
    <w:rPr>
      <w:lang w:val="es-ES"/>
    </w:rPr>
  </w:style>
  <w:style w:type="paragraph" w:styleId="Ttulo1">
    <w:name w:val="heading 1"/>
    <w:basedOn w:val="Normal"/>
    <w:next w:val="Normal"/>
    <w:link w:val="Ttulo1Car"/>
    <w:uiPriority w:val="9"/>
    <w:qFormat/>
    <w:rsid w:val="00B4428D"/>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1BE"/>
    <w:rPr>
      <w:color w:val="0563C1" w:themeColor="hyperlink"/>
      <w:u w:val="single"/>
    </w:rPr>
  </w:style>
  <w:style w:type="paragraph" w:styleId="Prrafodelista">
    <w:name w:val="List Paragraph"/>
    <w:basedOn w:val="Normal"/>
    <w:uiPriority w:val="34"/>
    <w:qFormat/>
    <w:rsid w:val="00714C34"/>
    <w:pPr>
      <w:ind w:left="720"/>
      <w:contextualSpacing/>
    </w:pPr>
    <w:rPr>
      <w:rFonts w:ascii="Calibri" w:eastAsia="Calibri" w:hAnsi="Calibri" w:cs="Times New Roman"/>
    </w:rPr>
  </w:style>
  <w:style w:type="table" w:customStyle="1" w:styleId="GridTable3-Accent51">
    <w:name w:val="Grid Table 3 - Accent 51"/>
    <w:basedOn w:val="Tablanormal"/>
    <w:uiPriority w:val="48"/>
    <w:rsid w:val="004B6C6B"/>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5Dark-Accent51">
    <w:name w:val="Grid Table 5 Dark - Accent 51"/>
    <w:basedOn w:val="Tablanormal"/>
    <w:uiPriority w:val="50"/>
    <w:rsid w:val="004B6C6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
    <w:name w:val="Table Grid"/>
    <w:basedOn w:val="Tablanormal"/>
    <w:uiPriority w:val="39"/>
    <w:rsid w:val="004B6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anormal"/>
    <w:uiPriority w:val="49"/>
    <w:rsid w:val="004B6C6B"/>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31">
    <w:name w:val="List Table 6 Colorful - Accent 31"/>
    <w:basedOn w:val="Tablanormal"/>
    <w:uiPriority w:val="51"/>
    <w:rsid w:val="004B6C6B"/>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51">
    <w:name w:val="List Table 6 Colorful - Accent 51"/>
    <w:basedOn w:val="Tablanormal"/>
    <w:uiPriority w:val="51"/>
    <w:rsid w:val="00132E3F"/>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11">
    <w:name w:val="List Table 6 Colorful - Accent 11"/>
    <w:basedOn w:val="Tablanormal"/>
    <w:uiPriority w:val="51"/>
    <w:rsid w:val="00132E3F"/>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7559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5590F"/>
    <w:rPr>
      <w:lang w:val="es-ES"/>
    </w:rPr>
  </w:style>
  <w:style w:type="paragraph" w:styleId="Piedepgina">
    <w:name w:val="footer"/>
    <w:basedOn w:val="Normal"/>
    <w:link w:val="PiedepginaCar"/>
    <w:unhideWhenUsed/>
    <w:rsid w:val="007559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5590F"/>
    <w:rPr>
      <w:lang w:val="es-ES"/>
    </w:rPr>
  </w:style>
  <w:style w:type="paragraph" w:styleId="Textodeglobo">
    <w:name w:val="Balloon Text"/>
    <w:basedOn w:val="Normal"/>
    <w:link w:val="TextodegloboCar"/>
    <w:uiPriority w:val="99"/>
    <w:semiHidden/>
    <w:unhideWhenUsed/>
    <w:rsid w:val="006C3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3F4B"/>
    <w:rPr>
      <w:rFonts w:ascii="Tahoma" w:hAnsi="Tahoma" w:cs="Tahoma"/>
      <w:sz w:val="16"/>
      <w:szCs w:val="16"/>
      <w:lang w:val="es-ES"/>
    </w:rPr>
  </w:style>
  <w:style w:type="paragraph" w:styleId="Textoindependiente">
    <w:name w:val="Body Text"/>
    <w:basedOn w:val="Normal"/>
    <w:link w:val="TextoindependienteCar"/>
    <w:rsid w:val="00402BC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402BC5"/>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uiPriority w:val="9"/>
    <w:rsid w:val="00B4428D"/>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B4428D"/>
    <w:pPr>
      <w:spacing w:after="160" w:line="259" w:lineRule="auto"/>
    </w:pPr>
    <w:rPr>
      <w:lang w:val="en-US"/>
    </w:rPr>
  </w:style>
  <w:style w:type="character" w:styleId="nfasis">
    <w:name w:val="Emphasis"/>
    <w:basedOn w:val="Fuentedeprrafopredeter"/>
    <w:uiPriority w:val="20"/>
    <w:qFormat/>
    <w:rsid w:val="007D64D8"/>
    <w:rPr>
      <w:i/>
      <w:iCs/>
    </w:rPr>
  </w:style>
  <w:style w:type="paragraph" w:styleId="NormalWeb">
    <w:name w:val="Normal (Web)"/>
    <w:basedOn w:val="Normal"/>
    <w:uiPriority w:val="99"/>
    <w:semiHidden/>
    <w:unhideWhenUsed/>
    <w:rsid w:val="00C17C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semiHidden/>
    <w:unhideWhenUsed/>
    <w:rsid w:val="00A77CD0"/>
    <w:pPr>
      <w:spacing w:after="120" w:line="480" w:lineRule="auto"/>
    </w:pPr>
  </w:style>
  <w:style w:type="character" w:customStyle="1" w:styleId="Textoindependiente2Car">
    <w:name w:val="Texto independiente 2 Car"/>
    <w:basedOn w:val="Fuentedeprrafopredeter"/>
    <w:link w:val="Textoindependiente2"/>
    <w:uiPriority w:val="99"/>
    <w:semiHidden/>
    <w:rsid w:val="00A77CD0"/>
    <w:rPr>
      <w:lang w:val="es-ES"/>
    </w:rPr>
  </w:style>
</w:styles>
</file>

<file path=word/webSettings.xml><?xml version="1.0" encoding="utf-8"?>
<w:webSettings xmlns:r="http://schemas.openxmlformats.org/officeDocument/2006/relationships" xmlns:w="http://schemas.openxmlformats.org/wordprocessingml/2006/main">
  <w:divs>
    <w:div w:id="395470658">
      <w:bodyDiv w:val="1"/>
      <w:marLeft w:val="0"/>
      <w:marRight w:val="0"/>
      <w:marTop w:val="0"/>
      <w:marBottom w:val="0"/>
      <w:divBdr>
        <w:top w:val="none" w:sz="0" w:space="0" w:color="auto"/>
        <w:left w:val="none" w:sz="0" w:space="0" w:color="auto"/>
        <w:bottom w:val="none" w:sz="0" w:space="0" w:color="auto"/>
        <w:right w:val="none" w:sz="0" w:space="0" w:color="auto"/>
      </w:divBdr>
      <w:divsChild>
        <w:div w:id="1845507229">
          <w:marLeft w:val="0"/>
          <w:marRight w:val="0"/>
          <w:marTop w:val="0"/>
          <w:marBottom w:val="0"/>
          <w:divBdr>
            <w:top w:val="none" w:sz="0" w:space="0" w:color="auto"/>
            <w:left w:val="none" w:sz="0" w:space="0" w:color="auto"/>
            <w:bottom w:val="none" w:sz="0" w:space="0" w:color="auto"/>
            <w:right w:val="none" w:sz="0" w:space="0" w:color="auto"/>
          </w:divBdr>
        </w:div>
        <w:div w:id="151260532">
          <w:marLeft w:val="0"/>
          <w:marRight w:val="0"/>
          <w:marTop w:val="0"/>
          <w:marBottom w:val="0"/>
          <w:divBdr>
            <w:top w:val="none" w:sz="0" w:space="0" w:color="auto"/>
            <w:left w:val="none" w:sz="0" w:space="0" w:color="auto"/>
            <w:bottom w:val="none" w:sz="0" w:space="0" w:color="auto"/>
            <w:right w:val="none" w:sz="0" w:space="0" w:color="auto"/>
          </w:divBdr>
        </w:div>
        <w:div w:id="406464439">
          <w:marLeft w:val="0"/>
          <w:marRight w:val="0"/>
          <w:marTop w:val="0"/>
          <w:marBottom w:val="0"/>
          <w:divBdr>
            <w:top w:val="none" w:sz="0" w:space="0" w:color="auto"/>
            <w:left w:val="none" w:sz="0" w:space="0" w:color="auto"/>
            <w:bottom w:val="none" w:sz="0" w:space="0" w:color="auto"/>
            <w:right w:val="none" w:sz="0" w:space="0" w:color="auto"/>
          </w:divBdr>
        </w:div>
        <w:div w:id="765078545">
          <w:marLeft w:val="0"/>
          <w:marRight w:val="0"/>
          <w:marTop w:val="0"/>
          <w:marBottom w:val="0"/>
          <w:divBdr>
            <w:top w:val="none" w:sz="0" w:space="0" w:color="auto"/>
            <w:left w:val="none" w:sz="0" w:space="0" w:color="auto"/>
            <w:bottom w:val="none" w:sz="0" w:space="0" w:color="auto"/>
            <w:right w:val="none" w:sz="0" w:space="0" w:color="auto"/>
          </w:divBdr>
        </w:div>
      </w:divsChild>
    </w:div>
    <w:div w:id="674383033">
      <w:bodyDiv w:val="1"/>
      <w:marLeft w:val="0"/>
      <w:marRight w:val="0"/>
      <w:marTop w:val="0"/>
      <w:marBottom w:val="0"/>
      <w:divBdr>
        <w:top w:val="none" w:sz="0" w:space="0" w:color="auto"/>
        <w:left w:val="none" w:sz="0" w:space="0" w:color="auto"/>
        <w:bottom w:val="none" w:sz="0" w:space="0" w:color="auto"/>
        <w:right w:val="none" w:sz="0" w:space="0" w:color="auto"/>
      </w:divBdr>
    </w:div>
    <w:div w:id="936136478">
      <w:bodyDiv w:val="1"/>
      <w:marLeft w:val="0"/>
      <w:marRight w:val="0"/>
      <w:marTop w:val="0"/>
      <w:marBottom w:val="0"/>
      <w:divBdr>
        <w:top w:val="none" w:sz="0" w:space="0" w:color="auto"/>
        <w:left w:val="none" w:sz="0" w:space="0" w:color="auto"/>
        <w:bottom w:val="none" w:sz="0" w:space="0" w:color="auto"/>
        <w:right w:val="none" w:sz="0" w:space="0" w:color="auto"/>
      </w:divBdr>
      <w:divsChild>
        <w:div w:id="949823414">
          <w:marLeft w:val="0"/>
          <w:marRight w:val="0"/>
          <w:marTop w:val="0"/>
          <w:marBottom w:val="0"/>
          <w:divBdr>
            <w:top w:val="none" w:sz="0" w:space="0" w:color="auto"/>
            <w:left w:val="none" w:sz="0" w:space="0" w:color="auto"/>
            <w:bottom w:val="none" w:sz="0" w:space="0" w:color="auto"/>
            <w:right w:val="none" w:sz="0" w:space="0" w:color="auto"/>
          </w:divBdr>
        </w:div>
        <w:div w:id="395469952">
          <w:marLeft w:val="0"/>
          <w:marRight w:val="0"/>
          <w:marTop w:val="0"/>
          <w:marBottom w:val="0"/>
          <w:divBdr>
            <w:top w:val="none" w:sz="0" w:space="0" w:color="auto"/>
            <w:left w:val="none" w:sz="0" w:space="0" w:color="auto"/>
            <w:bottom w:val="none" w:sz="0" w:space="0" w:color="auto"/>
            <w:right w:val="none" w:sz="0" w:space="0" w:color="auto"/>
          </w:divBdr>
        </w:div>
        <w:div w:id="385908061">
          <w:marLeft w:val="0"/>
          <w:marRight w:val="0"/>
          <w:marTop w:val="0"/>
          <w:marBottom w:val="0"/>
          <w:divBdr>
            <w:top w:val="none" w:sz="0" w:space="0" w:color="auto"/>
            <w:left w:val="none" w:sz="0" w:space="0" w:color="auto"/>
            <w:bottom w:val="none" w:sz="0" w:space="0" w:color="auto"/>
            <w:right w:val="none" w:sz="0" w:space="0" w:color="auto"/>
          </w:divBdr>
        </w:div>
        <w:div w:id="135689707">
          <w:marLeft w:val="0"/>
          <w:marRight w:val="0"/>
          <w:marTop w:val="0"/>
          <w:marBottom w:val="0"/>
          <w:divBdr>
            <w:top w:val="none" w:sz="0" w:space="0" w:color="auto"/>
            <w:left w:val="none" w:sz="0" w:space="0" w:color="auto"/>
            <w:bottom w:val="none" w:sz="0" w:space="0" w:color="auto"/>
            <w:right w:val="none" w:sz="0" w:space="0" w:color="auto"/>
          </w:divBdr>
        </w:div>
        <w:div w:id="1917201772">
          <w:marLeft w:val="0"/>
          <w:marRight w:val="0"/>
          <w:marTop w:val="0"/>
          <w:marBottom w:val="0"/>
          <w:divBdr>
            <w:top w:val="none" w:sz="0" w:space="0" w:color="auto"/>
            <w:left w:val="none" w:sz="0" w:space="0" w:color="auto"/>
            <w:bottom w:val="none" w:sz="0" w:space="0" w:color="auto"/>
            <w:right w:val="none" w:sz="0" w:space="0" w:color="auto"/>
          </w:divBdr>
        </w:div>
        <w:div w:id="202981697">
          <w:marLeft w:val="0"/>
          <w:marRight w:val="0"/>
          <w:marTop w:val="0"/>
          <w:marBottom w:val="0"/>
          <w:divBdr>
            <w:top w:val="none" w:sz="0" w:space="0" w:color="auto"/>
            <w:left w:val="none" w:sz="0" w:space="0" w:color="auto"/>
            <w:bottom w:val="none" w:sz="0" w:space="0" w:color="auto"/>
            <w:right w:val="none" w:sz="0" w:space="0" w:color="auto"/>
          </w:divBdr>
        </w:div>
        <w:div w:id="1729954899">
          <w:marLeft w:val="0"/>
          <w:marRight w:val="0"/>
          <w:marTop w:val="0"/>
          <w:marBottom w:val="0"/>
          <w:divBdr>
            <w:top w:val="none" w:sz="0" w:space="0" w:color="auto"/>
            <w:left w:val="none" w:sz="0" w:space="0" w:color="auto"/>
            <w:bottom w:val="none" w:sz="0" w:space="0" w:color="auto"/>
            <w:right w:val="none" w:sz="0" w:space="0" w:color="auto"/>
          </w:divBdr>
        </w:div>
        <w:div w:id="2132506119">
          <w:marLeft w:val="0"/>
          <w:marRight w:val="0"/>
          <w:marTop w:val="0"/>
          <w:marBottom w:val="0"/>
          <w:divBdr>
            <w:top w:val="none" w:sz="0" w:space="0" w:color="auto"/>
            <w:left w:val="none" w:sz="0" w:space="0" w:color="auto"/>
            <w:bottom w:val="none" w:sz="0" w:space="0" w:color="auto"/>
            <w:right w:val="none" w:sz="0" w:space="0" w:color="auto"/>
          </w:divBdr>
        </w:div>
        <w:div w:id="271206131">
          <w:marLeft w:val="0"/>
          <w:marRight w:val="0"/>
          <w:marTop w:val="0"/>
          <w:marBottom w:val="0"/>
          <w:divBdr>
            <w:top w:val="none" w:sz="0" w:space="0" w:color="auto"/>
            <w:left w:val="none" w:sz="0" w:space="0" w:color="auto"/>
            <w:bottom w:val="none" w:sz="0" w:space="0" w:color="auto"/>
            <w:right w:val="none" w:sz="0" w:space="0" w:color="auto"/>
          </w:divBdr>
        </w:div>
        <w:div w:id="2141460326">
          <w:marLeft w:val="0"/>
          <w:marRight w:val="0"/>
          <w:marTop w:val="0"/>
          <w:marBottom w:val="0"/>
          <w:divBdr>
            <w:top w:val="none" w:sz="0" w:space="0" w:color="auto"/>
            <w:left w:val="none" w:sz="0" w:space="0" w:color="auto"/>
            <w:bottom w:val="none" w:sz="0" w:space="0" w:color="auto"/>
            <w:right w:val="none" w:sz="0" w:space="0" w:color="auto"/>
          </w:divBdr>
        </w:div>
        <w:div w:id="583539008">
          <w:marLeft w:val="0"/>
          <w:marRight w:val="0"/>
          <w:marTop w:val="0"/>
          <w:marBottom w:val="0"/>
          <w:divBdr>
            <w:top w:val="none" w:sz="0" w:space="0" w:color="auto"/>
            <w:left w:val="none" w:sz="0" w:space="0" w:color="auto"/>
            <w:bottom w:val="none" w:sz="0" w:space="0" w:color="auto"/>
            <w:right w:val="none" w:sz="0" w:space="0" w:color="auto"/>
          </w:divBdr>
        </w:div>
      </w:divsChild>
    </w:div>
    <w:div w:id="963384952">
      <w:bodyDiv w:val="1"/>
      <w:marLeft w:val="0"/>
      <w:marRight w:val="0"/>
      <w:marTop w:val="0"/>
      <w:marBottom w:val="0"/>
      <w:divBdr>
        <w:top w:val="none" w:sz="0" w:space="0" w:color="auto"/>
        <w:left w:val="none" w:sz="0" w:space="0" w:color="auto"/>
        <w:bottom w:val="none" w:sz="0" w:space="0" w:color="auto"/>
        <w:right w:val="none" w:sz="0" w:space="0" w:color="auto"/>
      </w:divBdr>
    </w:div>
    <w:div w:id="1494759784">
      <w:bodyDiv w:val="1"/>
      <w:marLeft w:val="0"/>
      <w:marRight w:val="0"/>
      <w:marTop w:val="0"/>
      <w:marBottom w:val="0"/>
      <w:divBdr>
        <w:top w:val="none" w:sz="0" w:space="0" w:color="auto"/>
        <w:left w:val="none" w:sz="0" w:space="0" w:color="auto"/>
        <w:bottom w:val="none" w:sz="0" w:space="0" w:color="auto"/>
        <w:right w:val="none" w:sz="0" w:space="0" w:color="auto"/>
      </w:divBdr>
    </w:div>
    <w:div w:id="1548108778">
      <w:bodyDiv w:val="1"/>
      <w:marLeft w:val="0"/>
      <w:marRight w:val="0"/>
      <w:marTop w:val="0"/>
      <w:marBottom w:val="0"/>
      <w:divBdr>
        <w:top w:val="none" w:sz="0" w:space="0" w:color="auto"/>
        <w:left w:val="none" w:sz="0" w:space="0" w:color="auto"/>
        <w:bottom w:val="none" w:sz="0" w:space="0" w:color="auto"/>
        <w:right w:val="none" w:sz="0" w:space="0" w:color="auto"/>
      </w:divBdr>
    </w:div>
    <w:div w:id="1696925595">
      <w:bodyDiv w:val="1"/>
      <w:marLeft w:val="0"/>
      <w:marRight w:val="0"/>
      <w:marTop w:val="0"/>
      <w:marBottom w:val="0"/>
      <w:divBdr>
        <w:top w:val="none" w:sz="0" w:space="0" w:color="auto"/>
        <w:left w:val="none" w:sz="0" w:space="0" w:color="auto"/>
        <w:bottom w:val="none" w:sz="0" w:space="0" w:color="auto"/>
        <w:right w:val="none" w:sz="0" w:space="0" w:color="auto"/>
      </w:divBdr>
      <w:divsChild>
        <w:div w:id="2003073277">
          <w:marLeft w:val="0"/>
          <w:marRight w:val="0"/>
          <w:marTop w:val="0"/>
          <w:marBottom w:val="0"/>
          <w:divBdr>
            <w:top w:val="none" w:sz="0" w:space="0" w:color="auto"/>
            <w:left w:val="none" w:sz="0" w:space="0" w:color="auto"/>
            <w:bottom w:val="none" w:sz="0" w:space="0" w:color="auto"/>
            <w:right w:val="none" w:sz="0" w:space="0" w:color="auto"/>
          </w:divBdr>
        </w:div>
        <w:div w:id="572471243">
          <w:marLeft w:val="0"/>
          <w:marRight w:val="0"/>
          <w:marTop w:val="0"/>
          <w:marBottom w:val="0"/>
          <w:divBdr>
            <w:top w:val="none" w:sz="0" w:space="0" w:color="auto"/>
            <w:left w:val="none" w:sz="0" w:space="0" w:color="auto"/>
            <w:bottom w:val="none" w:sz="0" w:space="0" w:color="auto"/>
            <w:right w:val="none" w:sz="0" w:space="0" w:color="auto"/>
          </w:divBdr>
        </w:div>
        <w:div w:id="189073443">
          <w:marLeft w:val="0"/>
          <w:marRight w:val="0"/>
          <w:marTop w:val="0"/>
          <w:marBottom w:val="0"/>
          <w:divBdr>
            <w:top w:val="none" w:sz="0" w:space="0" w:color="auto"/>
            <w:left w:val="none" w:sz="0" w:space="0" w:color="auto"/>
            <w:bottom w:val="none" w:sz="0" w:space="0" w:color="auto"/>
            <w:right w:val="none" w:sz="0" w:space="0" w:color="auto"/>
          </w:divBdr>
        </w:div>
        <w:div w:id="565072444">
          <w:marLeft w:val="0"/>
          <w:marRight w:val="0"/>
          <w:marTop w:val="0"/>
          <w:marBottom w:val="0"/>
          <w:divBdr>
            <w:top w:val="none" w:sz="0" w:space="0" w:color="auto"/>
            <w:left w:val="none" w:sz="0" w:space="0" w:color="auto"/>
            <w:bottom w:val="none" w:sz="0" w:space="0" w:color="auto"/>
            <w:right w:val="none" w:sz="0" w:space="0" w:color="auto"/>
          </w:divBdr>
        </w:div>
      </w:divsChild>
    </w:div>
    <w:div w:id="2068799521">
      <w:bodyDiv w:val="1"/>
      <w:marLeft w:val="0"/>
      <w:marRight w:val="0"/>
      <w:marTop w:val="0"/>
      <w:marBottom w:val="0"/>
      <w:divBdr>
        <w:top w:val="none" w:sz="0" w:space="0" w:color="auto"/>
        <w:left w:val="none" w:sz="0" w:space="0" w:color="auto"/>
        <w:bottom w:val="none" w:sz="0" w:space="0" w:color="auto"/>
        <w:right w:val="none" w:sz="0" w:space="0" w:color="auto"/>
      </w:divBdr>
      <w:divsChild>
        <w:div w:id="24142010">
          <w:marLeft w:val="0"/>
          <w:marRight w:val="0"/>
          <w:marTop w:val="0"/>
          <w:marBottom w:val="0"/>
          <w:divBdr>
            <w:top w:val="none" w:sz="0" w:space="0" w:color="auto"/>
            <w:left w:val="none" w:sz="0" w:space="0" w:color="auto"/>
            <w:bottom w:val="none" w:sz="0" w:space="0" w:color="auto"/>
            <w:right w:val="none" w:sz="0" w:space="0" w:color="auto"/>
          </w:divBdr>
        </w:div>
        <w:div w:id="1446539911">
          <w:marLeft w:val="0"/>
          <w:marRight w:val="0"/>
          <w:marTop w:val="0"/>
          <w:marBottom w:val="0"/>
          <w:divBdr>
            <w:top w:val="none" w:sz="0" w:space="0" w:color="auto"/>
            <w:left w:val="none" w:sz="0" w:space="0" w:color="auto"/>
            <w:bottom w:val="none" w:sz="0" w:space="0" w:color="auto"/>
            <w:right w:val="none" w:sz="0" w:space="0" w:color="auto"/>
          </w:divBdr>
        </w:div>
        <w:div w:id="1615095626">
          <w:marLeft w:val="0"/>
          <w:marRight w:val="0"/>
          <w:marTop w:val="0"/>
          <w:marBottom w:val="0"/>
          <w:divBdr>
            <w:top w:val="none" w:sz="0" w:space="0" w:color="auto"/>
            <w:left w:val="none" w:sz="0" w:space="0" w:color="auto"/>
            <w:bottom w:val="none" w:sz="0" w:space="0" w:color="auto"/>
            <w:right w:val="none" w:sz="0" w:space="0" w:color="auto"/>
          </w:divBdr>
        </w:div>
        <w:div w:id="573703600">
          <w:marLeft w:val="0"/>
          <w:marRight w:val="0"/>
          <w:marTop w:val="0"/>
          <w:marBottom w:val="0"/>
          <w:divBdr>
            <w:top w:val="none" w:sz="0" w:space="0" w:color="auto"/>
            <w:left w:val="none" w:sz="0" w:space="0" w:color="auto"/>
            <w:bottom w:val="none" w:sz="0" w:space="0" w:color="auto"/>
            <w:right w:val="none" w:sz="0" w:space="0" w:color="auto"/>
          </w:divBdr>
        </w:div>
        <w:div w:id="947351295">
          <w:marLeft w:val="0"/>
          <w:marRight w:val="0"/>
          <w:marTop w:val="0"/>
          <w:marBottom w:val="0"/>
          <w:divBdr>
            <w:top w:val="none" w:sz="0" w:space="0" w:color="auto"/>
            <w:left w:val="none" w:sz="0" w:space="0" w:color="auto"/>
            <w:bottom w:val="none" w:sz="0" w:space="0" w:color="auto"/>
            <w:right w:val="none" w:sz="0" w:space="0" w:color="auto"/>
          </w:divBdr>
        </w:div>
        <w:div w:id="1698582002">
          <w:marLeft w:val="0"/>
          <w:marRight w:val="0"/>
          <w:marTop w:val="0"/>
          <w:marBottom w:val="0"/>
          <w:divBdr>
            <w:top w:val="none" w:sz="0" w:space="0" w:color="auto"/>
            <w:left w:val="none" w:sz="0" w:space="0" w:color="auto"/>
            <w:bottom w:val="none" w:sz="0" w:space="0" w:color="auto"/>
            <w:right w:val="none" w:sz="0" w:space="0" w:color="auto"/>
          </w:divBdr>
        </w:div>
        <w:div w:id="1711758290">
          <w:marLeft w:val="0"/>
          <w:marRight w:val="0"/>
          <w:marTop w:val="0"/>
          <w:marBottom w:val="0"/>
          <w:divBdr>
            <w:top w:val="none" w:sz="0" w:space="0" w:color="auto"/>
            <w:left w:val="none" w:sz="0" w:space="0" w:color="auto"/>
            <w:bottom w:val="none" w:sz="0" w:space="0" w:color="auto"/>
            <w:right w:val="none" w:sz="0" w:space="0" w:color="auto"/>
          </w:divBdr>
        </w:div>
        <w:div w:id="534198300">
          <w:marLeft w:val="0"/>
          <w:marRight w:val="0"/>
          <w:marTop w:val="0"/>
          <w:marBottom w:val="0"/>
          <w:divBdr>
            <w:top w:val="none" w:sz="0" w:space="0" w:color="auto"/>
            <w:left w:val="none" w:sz="0" w:space="0" w:color="auto"/>
            <w:bottom w:val="none" w:sz="0" w:space="0" w:color="auto"/>
            <w:right w:val="none" w:sz="0" w:space="0" w:color="auto"/>
          </w:divBdr>
        </w:div>
        <w:div w:id="687098487">
          <w:marLeft w:val="0"/>
          <w:marRight w:val="0"/>
          <w:marTop w:val="0"/>
          <w:marBottom w:val="0"/>
          <w:divBdr>
            <w:top w:val="none" w:sz="0" w:space="0" w:color="auto"/>
            <w:left w:val="none" w:sz="0" w:space="0" w:color="auto"/>
            <w:bottom w:val="none" w:sz="0" w:space="0" w:color="auto"/>
            <w:right w:val="none" w:sz="0" w:space="0" w:color="auto"/>
          </w:divBdr>
        </w:div>
        <w:div w:id="1629898959">
          <w:marLeft w:val="0"/>
          <w:marRight w:val="0"/>
          <w:marTop w:val="0"/>
          <w:marBottom w:val="0"/>
          <w:divBdr>
            <w:top w:val="none" w:sz="0" w:space="0" w:color="auto"/>
            <w:left w:val="none" w:sz="0" w:space="0" w:color="auto"/>
            <w:bottom w:val="none" w:sz="0" w:space="0" w:color="auto"/>
            <w:right w:val="none" w:sz="0" w:space="0" w:color="auto"/>
          </w:divBdr>
        </w:div>
        <w:div w:id="1545025024">
          <w:marLeft w:val="0"/>
          <w:marRight w:val="0"/>
          <w:marTop w:val="0"/>
          <w:marBottom w:val="0"/>
          <w:divBdr>
            <w:top w:val="none" w:sz="0" w:space="0" w:color="auto"/>
            <w:left w:val="none" w:sz="0" w:space="0" w:color="auto"/>
            <w:bottom w:val="none" w:sz="0" w:space="0" w:color="auto"/>
            <w:right w:val="none" w:sz="0" w:space="0" w:color="auto"/>
          </w:divBdr>
        </w:div>
        <w:div w:id="1073896929">
          <w:marLeft w:val="0"/>
          <w:marRight w:val="0"/>
          <w:marTop w:val="0"/>
          <w:marBottom w:val="0"/>
          <w:divBdr>
            <w:top w:val="none" w:sz="0" w:space="0" w:color="auto"/>
            <w:left w:val="none" w:sz="0" w:space="0" w:color="auto"/>
            <w:bottom w:val="none" w:sz="0" w:space="0" w:color="auto"/>
            <w:right w:val="none" w:sz="0" w:space="0" w:color="auto"/>
          </w:divBdr>
        </w:div>
        <w:div w:id="82405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chy@infomed.sld.cu" TargetMode="External"/><Relationship Id="rId13" Type="http://schemas.openxmlformats.org/officeDocument/2006/relationships/hyperlink" Target="http://scielo.sld.cu/scielo.php?script=sci_arttext&amp;pid=S0864-21412014000200007&amp;lng=es&amp;tlng=es"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mailto:mirecc@infomed.sld.cu" TargetMode="External"/><Relationship Id="rId17" Type="http://schemas.openxmlformats.org/officeDocument/2006/relationships/hyperlink" Target="http://files.sld.cu/dne/files/2018/04/Anuario-Electronico-Espa%C3%B1ol-2017-ed-201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elo.sld.cu/scielo.php?script=sci_arttext&amp;pid=S1729-519X2016000600001&amp;lng=es&amp;tlng=es"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imari@infomed.sld.c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s.sld.cu/index.php/ems/article/view/1212/640/" TargetMode="External"/><Relationship Id="rId23" Type="http://schemas.openxmlformats.org/officeDocument/2006/relationships/footer" Target="footer1.xml"/><Relationship Id="rId10" Type="http://schemas.openxmlformats.org/officeDocument/2006/relationships/hyperlink" Target="mailto:solangel.rosales@infomed.sld.cu"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maria.barciela@infomed.sld.cu" TargetMode="External"/><Relationship Id="rId14" Type="http://schemas.openxmlformats.org/officeDocument/2006/relationships/hyperlink" Target="http://scielo.sld.cu/scielo.php?script=sci_arttext&amp;pid=S0864-21412015000100006&amp;lng=es&amp;tlng=es" TargetMode="Externa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ary%20Barciela\Desktop\Book1.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y%20Barciela\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y%20Barciela\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1"/>
          <c:order val="0"/>
          <c:tx>
            <c:strRef>
              <c:f>Sheet1!$I$5</c:f>
              <c:strCache>
                <c:ptCount val="1"/>
                <c:pt idx="0">
                  <c:v>2013</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Sheet1!$H$6:$H$9</c:f>
              <c:strCache>
                <c:ptCount val="4"/>
                <c:pt idx="0">
                  <c:v>25 a 35</c:v>
                </c:pt>
                <c:pt idx="1">
                  <c:v>36 a 45</c:v>
                </c:pt>
                <c:pt idx="2">
                  <c:v>46 a 55</c:v>
                </c:pt>
                <c:pt idx="3">
                  <c:v> Más de 55</c:v>
                </c:pt>
              </c:strCache>
            </c:strRef>
          </c:cat>
          <c:val>
            <c:numRef>
              <c:f>Sheet1!$I$6:$I$9</c:f>
              <c:numCache>
                <c:formatCode>General</c:formatCode>
                <c:ptCount val="4"/>
                <c:pt idx="0">
                  <c:v>7.6899999999999995</c:v>
                </c:pt>
                <c:pt idx="1">
                  <c:v>22.3</c:v>
                </c:pt>
                <c:pt idx="2">
                  <c:v>30.759999999999987</c:v>
                </c:pt>
                <c:pt idx="3">
                  <c:v>39.230000000000011</c:v>
                </c:pt>
              </c:numCache>
            </c:numRef>
          </c:val>
          <c:extLst xmlns:c16r2="http://schemas.microsoft.com/office/drawing/2015/06/chart">
            <c:ext xmlns:c16="http://schemas.microsoft.com/office/drawing/2014/chart" uri="{C3380CC4-5D6E-409C-BE32-E72D297353CC}">
              <c16:uniqueId val="{00000000-81EA-431A-814E-AD3E40D5F492}"/>
            </c:ext>
          </c:extLst>
        </c:ser>
        <c:ser>
          <c:idx val="2"/>
          <c:order val="1"/>
          <c:tx>
            <c:strRef>
              <c:f>Sheet1!$J$5</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Sheet1!$H$6:$H$9</c:f>
              <c:strCache>
                <c:ptCount val="4"/>
                <c:pt idx="0">
                  <c:v>25 a 35</c:v>
                </c:pt>
                <c:pt idx="1">
                  <c:v>36 a 45</c:v>
                </c:pt>
                <c:pt idx="2">
                  <c:v>46 a 55</c:v>
                </c:pt>
                <c:pt idx="3">
                  <c:v> Más de 55</c:v>
                </c:pt>
              </c:strCache>
            </c:strRef>
          </c:cat>
          <c:val>
            <c:numRef>
              <c:f>Sheet1!$J$6:$J$9</c:f>
              <c:numCache>
                <c:formatCode>General</c:formatCode>
                <c:ptCount val="4"/>
                <c:pt idx="0">
                  <c:v>5.14</c:v>
                </c:pt>
                <c:pt idx="1">
                  <c:v>28</c:v>
                </c:pt>
                <c:pt idx="2">
                  <c:v>36.910000000000004</c:v>
                </c:pt>
                <c:pt idx="3">
                  <c:v>29.9</c:v>
                </c:pt>
              </c:numCache>
            </c:numRef>
          </c:val>
          <c:extLst xmlns:c16r2="http://schemas.microsoft.com/office/drawing/2015/06/chart">
            <c:ext xmlns:c16="http://schemas.microsoft.com/office/drawing/2014/chart" uri="{C3380CC4-5D6E-409C-BE32-E72D297353CC}">
              <c16:uniqueId val="{00000001-81EA-431A-814E-AD3E40D5F492}"/>
            </c:ext>
          </c:extLst>
        </c:ser>
        <c:gapWidth val="80"/>
        <c:overlap val="25"/>
        <c:axId val="148849792"/>
        <c:axId val="148851328"/>
      </c:barChart>
      <c:catAx>
        <c:axId val="148849792"/>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8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48851328"/>
        <c:crosses val="autoZero"/>
        <c:auto val="1"/>
        <c:lblAlgn val="ctr"/>
        <c:lblOffset val="100"/>
      </c:catAx>
      <c:valAx>
        <c:axId val="148851328"/>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48849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autoTitleDeleted val="1"/>
    <c:view3D>
      <c:rotY val="40"/>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Sheet2!$C$7</c:f>
              <c:strCache>
                <c:ptCount val="1"/>
                <c:pt idx="0">
                  <c:v>FEMENINO</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Sheet2!$D$5:$E$6</c:f>
              <c:strCache>
                <c:ptCount val="2"/>
                <c:pt idx="0">
                  <c:v>2013</c:v>
                </c:pt>
                <c:pt idx="1">
                  <c:v>2018</c:v>
                </c:pt>
              </c:strCache>
            </c:strRef>
          </c:cat>
          <c:val>
            <c:numRef>
              <c:f>Sheet2!$D$7:$E$7</c:f>
              <c:numCache>
                <c:formatCode>General</c:formatCode>
                <c:ptCount val="2"/>
                <c:pt idx="0">
                  <c:v>72.56</c:v>
                </c:pt>
                <c:pt idx="1">
                  <c:v>84.84</c:v>
                </c:pt>
              </c:numCache>
            </c:numRef>
          </c:val>
          <c:extLst xmlns:c16r2="http://schemas.microsoft.com/office/drawing/2015/06/chart">
            <c:ext xmlns:c16="http://schemas.microsoft.com/office/drawing/2014/chart" uri="{C3380CC4-5D6E-409C-BE32-E72D297353CC}">
              <c16:uniqueId val="{00000000-A7BC-4093-ABEA-81FD19685D17}"/>
            </c:ext>
          </c:extLst>
        </c:ser>
        <c:ser>
          <c:idx val="1"/>
          <c:order val="1"/>
          <c:tx>
            <c:strRef>
              <c:f>Sheet2!$C$8</c:f>
              <c:strCache>
                <c:ptCount val="1"/>
                <c:pt idx="0">
                  <c:v>MASCULINO</c:v>
                </c:pt>
              </c:strCache>
            </c:strRef>
          </c:tx>
          <c:spPr>
            <a:gradFill>
              <a:gsLst>
                <a:gs pos="100000">
                  <a:schemeClr val="accent2">
                    <a:alpha val="0"/>
                  </a:schemeClr>
                </a:gs>
                <a:gs pos="50000">
                  <a:schemeClr val="accent2"/>
                </a:gs>
              </a:gsLst>
              <a:lin ang="5400000" scaled="0"/>
            </a:gra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Sheet2!$D$5:$E$6</c:f>
              <c:strCache>
                <c:ptCount val="2"/>
                <c:pt idx="0">
                  <c:v>2013</c:v>
                </c:pt>
                <c:pt idx="1">
                  <c:v>2018</c:v>
                </c:pt>
              </c:strCache>
            </c:strRef>
          </c:cat>
          <c:val>
            <c:numRef>
              <c:f>Sheet2!$D$8:$E$8</c:f>
              <c:numCache>
                <c:formatCode>General</c:formatCode>
                <c:ptCount val="2"/>
                <c:pt idx="0">
                  <c:v>26.759999999999987</c:v>
                </c:pt>
                <c:pt idx="1">
                  <c:v>19.149999999999999</c:v>
                </c:pt>
              </c:numCache>
            </c:numRef>
          </c:val>
          <c:extLst xmlns:c16r2="http://schemas.microsoft.com/office/drawing/2015/06/chart">
            <c:ext xmlns:c16="http://schemas.microsoft.com/office/drawing/2014/chart" uri="{C3380CC4-5D6E-409C-BE32-E72D297353CC}">
              <c16:uniqueId val="{00000001-A7BC-4093-ABEA-81FD19685D17}"/>
            </c:ext>
          </c:extLst>
        </c:ser>
        <c:gapDepth val="0"/>
        <c:shape val="box"/>
        <c:axId val="145625088"/>
        <c:axId val="145626624"/>
        <c:axId val="0"/>
      </c:bar3DChart>
      <c:catAx>
        <c:axId val="14562508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45626624"/>
        <c:crosses val="autoZero"/>
        <c:auto val="1"/>
        <c:lblAlgn val="ctr"/>
        <c:lblOffset val="100"/>
      </c:catAx>
      <c:valAx>
        <c:axId val="145626624"/>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456250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
          <c:y val="4.4776119402985093E-2"/>
          <c:w val="0.93888887552250166"/>
          <c:h val="0.73577136191309478"/>
        </c:manualLayout>
      </c:layout>
      <c:barChart>
        <c:barDir val="col"/>
        <c:grouping val="clustered"/>
        <c:ser>
          <c:idx val="1"/>
          <c:order val="0"/>
          <c:tx>
            <c:strRef>
              <c:f>Sheet2!$H$47</c:f>
              <c:strCache>
                <c:ptCount val="1"/>
                <c:pt idx="0">
                  <c:v>2013</c:v>
                </c:pt>
              </c:strCache>
            </c:strRef>
          </c:tx>
          <c:spPr>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9525" cap="flat" cmpd="sng" algn="ctr">
              <a:noFill/>
              <a:round/>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50000"/>
                        <a:lumOff val="50000"/>
                      </a:schemeClr>
                    </a:solidFill>
                    <a:latin typeface="+mn-lt"/>
                    <a:ea typeface="+mn-ea"/>
                    <a:cs typeface="+mn-cs"/>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Sheet2!$I$46:$M$46</c:f>
              <c:strCache>
                <c:ptCount val="5"/>
                <c:pt idx="0">
                  <c:v>Titulares</c:v>
                </c:pt>
                <c:pt idx="1">
                  <c:v>Auxiliares</c:v>
                </c:pt>
                <c:pt idx="2">
                  <c:v>Tit y Aux</c:v>
                </c:pt>
                <c:pt idx="3">
                  <c:v>Asistentes</c:v>
                </c:pt>
                <c:pt idx="4">
                  <c:v>Instructores</c:v>
                </c:pt>
              </c:strCache>
            </c:strRef>
          </c:cat>
          <c:val>
            <c:numRef>
              <c:f>Sheet2!$I$47:$M$47</c:f>
              <c:numCache>
                <c:formatCode>General</c:formatCode>
                <c:ptCount val="5"/>
                <c:pt idx="0">
                  <c:v>12.8</c:v>
                </c:pt>
                <c:pt idx="1">
                  <c:v>44.690000000000012</c:v>
                </c:pt>
                <c:pt idx="2">
                  <c:v>56.46</c:v>
                </c:pt>
                <c:pt idx="3">
                  <c:v>29.64</c:v>
                </c:pt>
                <c:pt idx="4">
                  <c:v>12.3</c:v>
                </c:pt>
              </c:numCache>
            </c:numRef>
          </c:val>
          <c:extLst xmlns:c16r2="http://schemas.microsoft.com/office/drawing/2015/06/chart">
            <c:ext xmlns:c16="http://schemas.microsoft.com/office/drawing/2014/chart" uri="{C3380CC4-5D6E-409C-BE32-E72D297353CC}">
              <c16:uniqueId val="{00000000-F9F1-4B6E-BAF9-55E1DA779969}"/>
            </c:ext>
          </c:extLst>
        </c:ser>
        <c:ser>
          <c:idx val="2"/>
          <c:order val="1"/>
          <c:tx>
            <c:strRef>
              <c:f>Sheet2!$H$48</c:f>
              <c:strCache>
                <c:ptCount val="1"/>
                <c:pt idx="0">
                  <c:v>2018</c:v>
                </c:pt>
              </c:strCache>
            </c:strRef>
          </c:tx>
          <c:spPr>
            <a:gradFill flip="none" rotWithShape="1">
              <a:gsLst>
                <a:gs pos="0">
                  <a:srgbClr val="FFC000">
                    <a:shade val="30000"/>
                    <a:satMod val="115000"/>
                  </a:srgbClr>
                </a:gs>
                <a:gs pos="50000">
                  <a:srgbClr val="FFC000">
                    <a:shade val="67500"/>
                    <a:satMod val="115000"/>
                  </a:srgbClr>
                </a:gs>
                <a:gs pos="100000">
                  <a:srgbClr val="FFC000">
                    <a:shade val="100000"/>
                    <a:satMod val="115000"/>
                  </a:srgbClr>
                </a:gs>
              </a:gsLst>
              <a:lin ang="10800000" scaled="1"/>
              <a:tileRect/>
            </a:gradFill>
            <a:ln w="9525" cap="flat" cmpd="sng" algn="ctr">
              <a:solidFill>
                <a:schemeClr val="accent3">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50000"/>
                        <a:lumOff val="50000"/>
                      </a:schemeClr>
                    </a:solidFill>
                    <a:latin typeface="+mn-lt"/>
                    <a:ea typeface="+mn-ea"/>
                    <a:cs typeface="+mn-cs"/>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Sheet2!$I$46:$M$46</c:f>
              <c:strCache>
                <c:ptCount val="5"/>
                <c:pt idx="0">
                  <c:v>Titulares</c:v>
                </c:pt>
                <c:pt idx="1">
                  <c:v>Auxiliares</c:v>
                </c:pt>
                <c:pt idx="2">
                  <c:v>Tit y Aux</c:v>
                </c:pt>
                <c:pt idx="3">
                  <c:v>Asistentes</c:v>
                </c:pt>
                <c:pt idx="4">
                  <c:v>Instructores</c:v>
                </c:pt>
              </c:strCache>
            </c:strRef>
          </c:cat>
          <c:val>
            <c:numRef>
              <c:f>Sheet2!$I$48:$M$48</c:f>
              <c:numCache>
                <c:formatCode>General</c:formatCode>
                <c:ptCount val="5"/>
                <c:pt idx="0">
                  <c:v>9.3000000000000007</c:v>
                </c:pt>
                <c:pt idx="1">
                  <c:v>49.53</c:v>
                </c:pt>
                <c:pt idx="2">
                  <c:v>58.87</c:v>
                </c:pt>
                <c:pt idx="3">
                  <c:v>31.77</c:v>
                </c:pt>
                <c:pt idx="4">
                  <c:v>9.32</c:v>
                </c:pt>
              </c:numCache>
            </c:numRef>
          </c:val>
          <c:extLst xmlns:c16r2="http://schemas.microsoft.com/office/drawing/2015/06/chart">
            <c:ext xmlns:c16="http://schemas.microsoft.com/office/drawing/2014/chart" uri="{C3380CC4-5D6E-409C-BE32-E72D297353CC}">
              <c16:uniqueId val="{00000001-F9F1-4B6E-BAF9-55E1DA779969}"/>
            </c:ext>
          </c:extLst>
        </c:ser>
        <c:gapWidth val="100"/>
        <c:overlap val="-24"/>
        <c:axId val="144353536"/>
        <c:axId val="144359424"/>
      </c:barChart>
      <c:catAx>
        <c:axId val="144353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s-ES"/>
          </a:p>
        </c:txPr>
        <c:crossAx val="144359424"/>
        <c:crosses val="autoZero"/>
        <c:auto val="1"/>
        <c:lblAlgn val="ctr"/>
        <c:lblOffset val="100"/>
      </c:catAx>
      <c:valAx>
        <c:axId val="144359424"/>
        <c:scaling>
          <c:orientation val="minMax"/>
        </c:scaling>
        <c:delete val="1"/>
        <c:axPos val="l"/>
        <c:numFmt formatCode="General" sourceLinked="1"/>
        <c:majorTickMark val="none"/>
        <c:tickLblPos val="nextTo"/>
        <c:crossAx val="144353536"/>
        <c:crosses val="autoZero"/>
        <c:crossBetween val="between"/>
      </c:valAx>
      <c:spPr>
        <a:noFill/>
        <a:ln>
          <a:noFill/>
        </a:ln>
        <a:effectLst/>
      </c:spPr>
    </c:plotArea>
    <c:legend>
      <c:legendPos val="b"/>
      <c:layout>
        <c:manualLayout>
          <c:xMode val="edge"/>
          <c:yMode val="edge"/>
          <c:x val="0.37941475161264065"/>
          <c:y val="0.88145333255893066"/>
          <c:w val="0.24117049677471988"/>
          <c:h val="0.11854666744106945"/>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1"/>
          <c:order val="0"/>
          <c:tx>
            <c:strRef>
              <c:f>Sheet3!$G$17</c:f>
              <c:strCache>
                <c:ptCount val="1"/>
                <c:pt idx="0">
                  <c:v>2013</c:v>
                </c:pt>
              </c:strCache>
            </c:strRef>
          </c:tx>
          <c:spPr>
            <a:solidFill>
              <a:srgbClr val="9900CC"/>
            </a:solidFill>
            <a:ln>
              <a:noFill/>
            </a:ln>
            <a:effectLst/>
          </c:spP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Sheet3!$F$18:$F$23</c:f>
              <c:strCache>
                <c:ptCount val="6"/>
                <c:pt idx="0">
                  <c:v>De Mérito</c:v>
                </c:pt>
                <c:pt idx="1">
                  <c:v> Titular </c:v>
                </c:pt>
                <c:pt idx="2">
                  <c:v> Auxiliar</c:v>
                </c:pt>
                <c:pt idx="3">
                  <c:v> Agregado</c:v>
                </c:pt>
                <c:pt idx="4">
                  <c:v> Aspirante</c:v>
                </c:pt>
                <c:pt idx="5">
                  <c:v>Total</c:v>
                </c:pt>
              </c:strCache>
            </c:strRef>
          </c:cat>
          <c:val>
            <c:numRef>
              <c:f>Sheet3!$G$18:$G$23</c:f>
              <c:numCache>
                <c:formatCode>General</c:formatCode>
                <c:ptCount val="6"/>
                <c:pt idx="0">
                  <c:v>3</c:v>
                </c:pt>
                <c:pt idx="1">
                  <c:v>3</c:v>
                </c:pt>
                <c:pt idx="2">
                  <c:v>12</c:v>
                </c:pt>
                <c:pt idx="3">
                  <c:v>15</c:v>
                </c:pt>
                <c:pt idx="4">
                  <c:v>3</c:v>
                </c:pt>
                <c:pt idx="5">
                  <c:v>36</c:v>
                </c:pt>
              </c:numCache>
            </c:numRef>
          </c:val>
          <c:extLst xmlns:c16r2="http://schemas.microsoft.com/office/drawing/2015/06/chart">
            <c:ext xmlns:c16="http://schemas.microsoft.com/office/drawing/2014/chart" uri="{C3380CC4-5D6E-409C-BE32-E72D297353CC}">
              <c16:uniqueId val="{00000000-66AE-401F-A14E-69B1D67231C8}"/>
            </c:ext>
          </c:extLst>
        </c:ser>
        <c:ser>
          <c:idx val="2"/>
          <c:order val="1"/>
          <c:tx>
            <c:strRef>
              <c:f>Sheet3!$H$17</c:f>
              <c:strCache>
                <c:ptCount val="1"/>
                <c:pt idx="0">
                  <c:v>2018</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Sheet3!$F$18:$F$23</c:f>
              <c:strCache>
                <c:ptCount val="6"/>
                <c:pt idx="0">
                  <c:v>De Mérito</c:v>
                </c:pt>
                <c:pt idx="1">
                  <c:v> Titular </c:v>
                </c:pt>
                <c:pt idx="2">
                  <c:v> Auxiliar</c:v>
                </c:pt>
                <c:pt idx="3">
                  <c:v> Agregado</c:v>
                </c:pt>
                <c:pt idx="4">
                  <c:v> Aspirante</c:v>
                </c:pt>
                <c:pt idx="5">
                  <c:v>Total</c:v>
                </c:pt>
              </c:strCache>
            </c:strRef>
          </c:cat>
          <c:val>
            <c:numRef>
              <c:f>Sheet3!$H$18:$H$23</c:f>
              <c:numCache>
                <c:formatCode>General</c:formatCode>
                <c:ptCount val="6"/>
                <c:pt idx="0">
                  <c:v>3</c:v>
                </c:pt>
                <c:pt idx="1">
                  <c:v>3</c:v>
                </c:pt>
                <c:pt idx="2">
                  <c:v>14</c:v>
                </c:pt>
                <c:pt idx="3">
                  <c:v>24</c:v>
                </c:pt>
                <c:pt idx="4">
                  <c:v>3</c:v>
                </c:pt>
                <c:pt idx="5">
                  <c:v>47</c:v>
                </c:pt>
              </c:numCache>
            </c:numRef>
          </c:val>
          <c:extLst xmlns:c16r2="http://schemas.microsoft.com/office/drawing/2015/06/chart">
            <c:ext xmlns:c16="http://schemas.microsoft.com/office/drawing/2014/chart" uri="{C3380CC4-5D6E-409C-BE32-E72D297353CC}">
              <c16:uniqueId val="{00000001-66AE-401F-A14E-69B1D67231C8}"/>
            </c:ext>
          </c:extLst>
        </c:ser>
        <c:gapWidth val="80"/>
        <c:overlap val="25"/>
        <c:axId val="145659008"/>
        <c:axId val="145660544"/>
      </c:barChart>
      <c:catAx>
        <c:axId val="145659008"/>
        <c:scaling>
          <c:orientation val="minMax"/>
        </c:scaling>
        <c:axPos val="b"/>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8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45660544"/>
        <c:crosses val="autoZero"/>
        <c:auto val="1"/>
        <c:lblAlgn val="ctr"/>
        <c:lblOffset val="100"/>
      </c:catAx>
      <c:valAx>
        <c:axId val="145660544"/>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456590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Sheet1!$J$12</c:f>
              <c:strCache>
                <c:ptCount val="1"/>
                <c:pt idx="0">
                  <c:v>Dr. Ciencias y esp 2do grado</c:v>
                </c:pt>
              </c:strCache>
            </c:strRef>
          </c:tx>
          <c:spPr>
            <a:gradFill>
              <a:gsLst>
                <a:gs pos="100000">
                  <a:schemeClr val="accent1">
                    <a:alpha val="0"/>
                  </a:schemeClr>
                </a:gs>
                <a:gs pos="50000">
                  <a:schemeClr val="accent1"/>
                </a:gs>
              </a:gsLst>
              <a:lin ang="5400000" scaled="0"/>
            </a:gradFill>
            <a:ln>
              <a:noFill/>
            </a:ln>
            <a:effectLst/>
            <a:sp3d/>
          </c:spPr>
          <c:dLbls>
            <c:dLbl>
              <c:idx val="0"/>
              <c:layout>
                <c:manualLayout>
                  <c:x val="5.5555555555555558E-3"/>
                  <c:y val="-5.555555555555555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6CE-4D25-BEFC-E7B67DB99B9E}"/>
                </c:ext>
              </c:extLst>
            </c:dLbl>
            <c:dLbl>
              <c:idx val="1"/>
              <c:layout>
                <c:manualLayout>
                  <c:x val="0"/>
                  <c:y val="-4.166666666666666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6CE-4D25-BEFC-E7B67DB99B9E}"/>
                </c:ext>
              </c:extLst>
            </c:dLbl>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Times New Roman" panose="02020603050405020304" pitchFamily="18" charset="0"/>
                    <a:ea typeface="Segoe UI Emoji" panose="020B0502040204020203" pitchFamily="34" charset="0"/>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Sheet1!$K$11:$L$11</c:f>
              <c:numCache>
                <c:formatCode>General</c:formatCode>
                <c:ptCount val="2"/>
                <c:pt idx="0">
                  <c:v>2013</c:v>
                </c:pt>
                <c:pt idx="1">
                  <c:v>2018</c:v>
                </c:pt>
              </c:numCache>
            </c:numRef>
          </c:cat>
          <c:val>
            <c:numRef>
              <c:f>Sheet1!$K$12:$L$12</c:f>
              <c:numCache>
                <c:formatCode>General</c:formatCode>
                <c:ptCount val="2"/>
                <c:pt idx="0">
                  <c:v>48.230000000000011</c:v>
                </c:pt>
                <c:pt idx="1">
                  <c:v>49.53</c:v>
                </c:pt>
              </c:numCache>
            </c:numRef>
          </c:val>
          <c:extLst xmlns:c16r2="http://schemas.microsoft.com/office/drawing/2015/06/chart">
            <c:ext xmlns:c16="http://schemas.microsoft.com/office/drawing/2014/chart" uri="{C3380CC4-5D6E-409C-BE32-E72D297353CC}">
              <c16:uniqueId val="{00000002-B6CE-4D25-BEFC-E7B67DB99B9E}"/>
            </c:ext>
          </c:extLst>
        </c:ser>
        <c:ser>
          <c:idx val="1"/>
          <c:order val="1"/>
          <c:tx>
            <c:strRef>
              <c:f>Sheet1!$J$13</c:f>
              <c:strCache>
                <c:ptCount val="1"/>
                <c:pt idx="0">
                  <c:v>Master y  esp  en el resto del claustro 1er grado *</c:v>
                </c:pt>
              </c:strCache>
            </c:strRef>
          </c:tx>
          <c:spPr>
            <a:solidFill>
              <a:srgbClr val="FFC000"/>
            </a:solidFill>
            <a:ln>
              <a:noFill/>
            </a:ln>
            <a:effectLst/>
            <a:sp3d/>
          </c:spPr>
          <c:dLbls>
            <c:dLbl>
              <c:idx val="0"/>
              <c:layout>
                <c:manualLayout>
                  <c:x val="1.666666666666668E-2"/>
                  <c:y val="-4.166666666666666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6CE-4D25-BEFC-E7B67DB99B9E}"/>
                </c:ext>
              </c:extLst>
            </c:dLbl>
            <c:dLbl>
              <c:idx val="1"/>
              <c:layout>
                <c:manualLayout>
                  <c:x val="2.222222222222214E-2"/>
                  <c:y val="-4.166666666666667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6CE-4D25-BEFC-E7B67DB99B9E}"/>
                </c:ext>
              </c:extLst>
            </c:dLbl>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Times New Roman" panose="02020603050405020304" pitchFamily="18" charset="0"/>
                    <a:ea typeface="Segoe UI Emoji" panose="020B0502040204020203" pitchFamily="34" charset="0"/>
                    <a:cs typeface="Times New Roman" panose="02020603050405020304" pitchFamily="18" charset="0"/>
                  </a:defRPr>
                </a:pPr>
                <a:endParaRPr lang="es-E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Sheet1!$K$11:$L$11</c:f>
              <c:numCache>
                <c:formatCode>General</c:formatCode>
                <c:ptCount val="2"/>
                <c:pt idx="0">
                  <c:v>2013</c:v>
                </c:pt>
                <c:pt idx="1">
                  <c:v>2018</c:v>
                </c:pt>
              </c:numCache>
            </c:numRef>
          </c:cat>
          <c:val>
            <c:numRef>
              <c:f>Sheet1!$K$13:$L$13</c:f>
              <c:numCache>
                <c:formatCode>General</c:formatCode>
                <c:ptCount val="2"/>
                <c:pt idx="0">
                  <c:v>79.48</c:v>
                </c:pt>
                <c:pt idx="1">
                  <c:v>86.11</c:v>
                </c:pt>
              </c:numCache>
            </c:numRef>
          </c:val>
          <c:extLst xmlns:c16r2="http://schemas.microsoft.com/office/drawing/2015/06/chart">
            <c:ext xmlns:c16="http://schemas.microsoft.com/office/drawing/2014/chart" uri="{C3380CC4-5D6E-409C-BE32-E72D297353CC}">
              <c16:uniqueId val="{00000005-B6CE-4D25-BEFC-E7B67DB99B9E}"/>
            </c:ext>
          </c:extLst>
        </c:ser>
        <c:gapDepth val="0"/>
        <c:shape val="box"/>
        <c:axId val="145989632"/>
        <c:axId val="145991168"/>
        <c:axId val="0"/>
      </c:bar3DChart>
      <c:catAx>
        <c:axId val="1459896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Segoe UI Emoji" panose="020B0502040204020203" pitchFamily="34" charset="0"/>
                <a:cs typeface="Times New Roman" panose="02020603050405020304" pitchFamily="18" charset="0"/>
              </a:defRPr>
            </a:pPr>
            <a:endParaRPr lang="es-ES"/>
          </a:p>
        </c:txPr>
        <c:crossAx val="145991168"/>
        <c:crosses val="autoZero"/>
        <c:auto val="1"/>
        <c:lblAlgn val="ctr"/>
        <c:lblOffset val="100"/>
      </c:catAx>
      <c:valAx>
        <c:axId val="145991168"/>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459896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Times New Roman" panose="02020603050405020304" pitchFamily="18" charset="0"/>
              <a:ea typeface="Segoe UI Emoji" panose="020B0502040204020203" pitchFamily="34" charset="0"/>
              <a:cs typeface="Times New Roman" panose="02020603050405020304" pitchFamily="18" charset="0"/>
            </a:defRPr>
          </a:pPr>
          <a:endParaRPr lang="es-E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ea typeface="Segoe UI Emoji" panose="020B0502040204020203" pitchFamily="34" charset="0"/>
          <a:cs typeface="Times New Roman" panose="02020603050405020304" pitchFamily="18" charset="0"/>
        </a:defRPr>
      </a:pPr>
      <a:endParaRPr lang="es-E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5D439-67E1-4E65-B1E3-0B624B9E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14919</Characters>
  <Application>Microsoft Office Word</Application>
  <DocSecurity>0</DocSecurity>
  <Lines>124</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Personal</Company>
  <LinksUpToDate>false</LinksUpToDate>
  <CharactersWithSpaces>17596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Barciela</dc:creator>
  <cp:lastModifiedBy>PC 3</cp:lastModifiedBy>
  <cp:revision>2</cp:revision>
  <dcterms:created xsi:type="dcterms:W3CDTF">2019-04-01T17:17:00Z</dcterms:created>
  <dcterms:modified xsi:type="dcterms:W3CDTF">2019-04-01T17:17:00Z</dcterms:modified>
</cp:coreProperties>
</file>