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45F" w:rsidRPr="00EA0066" w:rsidRDefault="00066462" w:rsidP="007929F6">
      <w:pPr>
        <w:spacing w:before="240"/>
        <w:jc w:val="center"/>
        <w:rPr>
          <w:rFonts w:ascii="Arial" w:hAnsi="Arial" w:cs="Arial"/>
          <w:b/>
          <w:lang w:val="es-MX" w:eastAsia="es-ES"/>
        </w:rPr>
      </w:pPr>
      <w:r w:rsidRPr="00EA0066">
        <w:rPr>
          <w:rFonts w:ascii="Arial" w:hAnsi="Arial" w:cs="Arial"/>
          <w:b/>
        </w:rPr>
        <w:t>ESTADO DE SALUD BUCAL DE ANCIANOS DE LA CASA DE ABUELOS SANTA LUCÍA</w:t>
      </w:r>
      <w:r w:rsidR="004656B8">
        <w:rPr>
          <w:rFonts w:ascii="Arial" w:hAnsi="Arial" w:cs="Arial"/>
          <w:b/>
        </w:rPr>
        <w:t>, HOLGUÍN</w:t>
      </w:r>
    </w:p>
    <w:p w:rsidR="004656B8" w:rsidRPr="004656B8" w:rsidRDefault="004656B8" w:rsidP="004656B8">
      <w:pPr>
        <w:spacing w:before="240" w:after="240" w:line="360" w:lineRule="auto"/>
        <w:jc w:val="center"/>
        <w:rPr>
          <w:rFonts w:ascii="Arial" w:hAnsi="Arial" w:cs="Arial"/>
          <w:b/>
          <w:sz w:val="22"/>
          <w:lang w:val="en-US"/>
        </w:rPr>
      </w:pPr>
      <w:r>
        <w:rPr>
          <w:rFonts w:ascii="Arial" w:hAnsi="Arial" w:cs="Arial"/>
          <w:b/>
          <w:sz w:val="22"/>
          <w:lang w:val="en-US"/>
        </w:rPr>
        <w:t>Oral</w:t>
      </w:r>
      <w:r w:rsidRPr="004656B8">
        <w:rPr>
          <w:rFonts w:ascii="Arial" w:hAnsi="Arial" w:cs="Arial"/>
          <w:b/>
          <w:sz w:val="22"/>
          <w:lang w:val="en-US"/>
        </w:rPr>
        <w:t xml:space="preserve"> health condition in seniors of the Nursing </w:t>
      </w:r>
      <w:proofErr w:type="gramStart"/>
      <w:r w:rsidRPr="004656B8">
        <w:rPr>
          <w:rFonts w:ascii="Arial" w:hAnsi="Arial" w:cs="Arial"/>
          <w:b/>
          <w:sz w:val="22"/>
          <w:lang w:val="en-US"/>
        </w:rPr>
        <w:t xml:space="preserve">Home  </w:t>
      </w:r>
      <w:r>
        <w:rPr>
          <w:rFonts w:ascii="Arial" w:hAnsi="Arial" w:cs="Arial"/>
          <w:b/>
          <w:sz w:val="22"/>
          <w:lang w:val="en-US"/>
        </w:rPr>
        <w:t>Santa</w:t>
      </w:r>
      <w:proofErr w:type="gramEnd"/>
      <w:r>
        <w:rPr>
          <w:rFonts w:ascii="Arial" w:hAnsi="Arial" w:cs="Arial"/>
          <w:b/>
          <w:sz w:val="22"/>
          <w:lang w:val="en-US"/>
        </w:rPr>
        <w:t xml:space="preserve"> Lucía, Holguin</w:t>
      </w:r>
    </w:p>
    <w:p w:rsidR="00656747" w:rsidRPr="004656B8" w:rsidRDefault="00656747" w:rsidP="007929F6">
      <w:pPr>
        <w:spacing w:before="240"/>
        <w:jc w:val="center"/>
        <w:rPr>
          <w:rFonts w:ascii="Arial" w:hAnsi="Arial" w:cs="Arial"/>
          <w:b/>
          <w:lang w:val="en-US"/>
        </w:rPr>
      </w:pPr>
    </w:p>
    <w:p w:rsidR="001A797C" w:rsidRPr="00EA0066" w:rsidRDefault="00CC245F" w:rsidP="007929F6">
      <w:pPr>
        <w:pStyle w:val="Sinespaciado"/>
        <w:jc w:val="both"/>
        <w:rPr>
          <w:rFonts w:ascii="Arial" w:hAnsi="Arial" w:cs="Arial"/>
          <w:color w:val="000000"/>
          <w:sz w:val="24"/>
          <w:szCs w:val="24"/>
          <w:lang w:eastAsia="es-ES"/>
        </w:rPr>
      </w:pPr>
      <w:r w:rsidRPr="00EA0066">
        <w:rPr>
          <w:rFonts w:ascii="Arial" w:hAnsi="Arial" w:cs="Arial"/>
          <w:color w:val="000000"/>
          <w:sz w:val="24"/>
          <w:szCs w:val="24"/>
          <w:lang w:eastAsia="es-ES"/>
        </w:rPr>
        <w:t>Lisbeth Crespo Cuenca</w:t>
      </w:r>
      <w:r w:rsidR="009804E6" w:rsidRPr="00EA0066">
        <w:rPr>
          <w:rFonts w:ascii="Arial" w:hAnsi="Arial" w:cs="Arial"/>
          <w:color w:val="000000"/>
          <w:sz w:val="24"/>
          <w:szCs w:val="24"/>
          <w:lang w:eastAsia="es-ES"/>
        </w:rPr>
        <w:t>, Email: cuenca.lisbeth@nauta.cu, Policlínico Alcides Pino Bermúdez, Cuba,</w:t>
      </w:r>
      <w:r w:rsidR="001A797C" w:rsidRPr="00EA0066">
        <w:rPr>
          <w:rFonts w:ascii="Arial" w:hAnsi="Arial" w:cs="Arial"/>
          <w:color w:val="000000"/>
          <w:sz w:val="24"/>
          <w:szCs w:val="24"/>
          <w:lang w:eastAsia="es-ES"/>
        </w:rPr>
        <w:t xml:space="preserve"> Investigador Agregado, Profesor Instructor.</w:t>
      </w:r>
    </w:p>
    <w:p w:rsidR="001A797C" w:rsidRPr="00EA0066" w:rsidRDefault="009804E6" w:rsidP="007929F6">
      <w:pPr>
        <w:pStyle w:val="Sinespaciado"/>
        <w:jc w:val="both"/>
        <w:rPr>
          <w:rFonts w:ascii="Arial" w:hAnsi="Arial" w:cs="Arial"/>
          <w:color w:val="000000"/>
          <w:sz w:val="24"/>
          <w:szCs w:val="24"/>
          <w:lang w:eastAsia="es-ES"/>
        </w:rPr>
      </w:pPr>
      <w:r w:rsidRPr="00EA0066">
        <w:rPr>
          <w:rFonts w:ascii="Arial" w:hAnsi="Arial" w:cs="Arial"/>
          <w:color w:val="000000"/>
          <w:sz w:val="24"/>
          <w:szCs w:val="24"/>
          <w:lang w:eastAsia="es-ES"/>
        </w:rPr>
        <w:t>Sandra Parra Enríquez, Email: sandraparra@infomed.sld.cu</w:t>
      </w:r>
      <w:r w:rsidR="00CC245F" w:rsidRPr="00EA0066">
        <w:rPr>
          <w:rFonts w:ascii="Arial" w:hAnsi="Arial" w:cs="Arial"/>
          <w:color w:val="000000"/>
          <w:sz w:val="24"/>
          <w:szCs w:val="24"/>
          <w:lang w:eastAsia="es-ES"/>
        </w:rPr>
        <w:t xml:space="preserve">, </w:t>
      </w:r>
      <w:r w:rsidRPr="00EA0066">
        <w:rPr>
          <w:rFonts w:ascii="Arial" w:hAnsi="Arial" w:cs="Arial"/>
          <w:color w:val="000000"/>
          <w:sz w:val="24"/>
          <w:szCs w:val="24"/>
          <w:lang w:eastAsia="es-ES"/>
        </w:rPr>
        <w:t>Dirección Provincial de Salud</w:t>
      </w:r>
      <w:r w:rsidR="001A797C" w:rsidRPr="00EA0066">
        <w:rPr>
          <w:rFonts w:ascii="Arial" w:hAnsi="Arial" w:cs="Arial"/>
          <w:color w:val="000000"/>
          <w:sz w:val="24"/>
          <w:szCs w:val="24"/>
          <w:lang w:eastAsia="es-ES"/>
        </w:rPr>
        <w:t>, Master en Salud Bucal Comunitaria, Profesor Asistente.</w:t>
      </w:r>
    </w:p>
    <w:p w:rsidR="001A797C" w:rsidRDefault="00CC245F" w:rsidP="007929F6">
      <w:pPr>
        <w:pStyle w:val="Sinespaciado"/>
        <w:jc w:val="both"/>
        <w:rPr>
          <w:rFonts w:ascii="Arial" w:hAnsi="Arial" w:cs="Arial"/>
          <w:color w:val="000000"/>
          <w:sz w:val="24"/>
          <w:szCs w:val="24"/>
          <w:lang w:eastAsia="es-ES"/>
        </w:rPr>
      </w:pPr>
      <w:proofErr w:type="spellStart"/>
      <w:r w:rsidRPr="00EA0066">
        <w:rPr>
          <w:rFonts w:ascii="Arial" w:hAnsi="Arial" w:cs="Arial"/>
          <w:color w:val="000000"/>
          <w:sz w:val="24"/>
          <w:szCs w:val="24"/>
          <w:lang w:eastAsia="es-ES"/>
        </w:rPr>
        <w:t>Fulgenci</w:t>
      </w:r>
      <w:r w:rsidR="009804E6" w:rsidRPr="00EA0066">
        <w:rPr>
          <w:rFonts w:ascii="Arial" w:hAnsi="Arial" w:cs="Arial"/>
          <w:color w:val="000000"/>
          <w:sz w:val="24"/>
          <w:szCs w:val="24"/>
          <w:lang w:eastAsia="es-ES"/>
        </w:rPr>
        <w:t>a</w:t>
      </w:r>
      <w:proofErr w:type="spellEnd"/>
      <w:r w:rsidR="009804E6" w:rsidRPr="00EA0066">
        <w:rPr>
          <w:rFonts w:ascii="Arial" w:hAnsi="Arial" w:cs="Arial"/>
          <w:color w:val="000000"/>
          <w:sz w:val="24"/>
          <w:szCs w:val="24"/>
          <w:lang w:eastAsia="es-ES"/>
        </w:rPr>
        <w:t xml:space="preserve"> de las Mercedes Aguilera Ochoa, Clínica Mario pozo Ochoa Email: fulgenhlg@infomed.sld.cu</w:t>
      </w:r>
      <w:r w:rsidR="001A797C" w:rsidRPr="00EA0066">
        <w:rPr>
          <w:rFonts w:ascii="Arial" w:hAnsi="Arial" w:cs="Arial"/>
          <w:color w:val="000000"/>
          <w:sz w:val="24"/>
          <w:szCs w:val="24"/>
          <w:lang w:eastAsia="es-ES"/>
        </w:rPr>
        <w:t>, Investigador Agregado, Master en Salud Bucal Comunitaria, Profesor Asistente.</w:t>
      </w:r>
    </w:p>
    <w:p w:rsidR="006302C7" w:rsidRPr="00EA0066" w:rsidRDefault="006302C7" w:rsidP="006302C7">
      <w:pPr>
        <w:pStyle w:val="Sinespaciado"/>
        <w:jc w:val="both"/>
        <w:rPr>
          <w:rFonts w:ascii="Arial" w:hAnsi="Arial" w:cs="Arial"/>
          <w:color w:val="000000"/>
          <w:sz w:val="24"/>
          <w:szCs w:val="24"/>
          <w:lang w:eastAsia="es-ES"/>
        </w:rPr>
      </w:pPr>
      <w:r>
        <w:rPr>
          <w:rFonts w:ascii="Arial" w:hAnsi="Arial" w:cs="Arial"/>
          <w:color w:val="000000"/>
          <w:sz w:val="24"/>
          <w:szCs w:val="24"/>
          <w:lang w:eastAsia="es-ES"/>
        </w:rPr>
        <w:t>Marlene Moreno Almaguer</w:t>
      </w:r>
      <w:r w:rsidRPr="00EA0066">
        <w:rPr>
          <w:rFonts w:ascii="Arial" w:hAnsi="Arial" w:cs="Arial"/>
          <w:color w:val="000000"/>
          <w:sz w:val="24"/>
          <w:szCs w:val="24"/>
          <w:lang w:eastAsia="es-ES"/>
        </w:rPr>
        <w:t>, Email: cuenca.lisbeth@nauta.cu, Clínica</w:t>
      </w:r>
      <w:r>
        <w:rPr>
          <w:rFonts w:ascii="Arial" w:hAnsi="Arial" w:cs="Arial"/>
          <w:color w:val="000000"/>
          <w:sz w:val="24"/>
          <w:szCs w:val="24"/>
          <w:lang w:eastAsia="es-ES"/>
        </w:rPr>
        <w:t xml:space="preserve"> Manuel Angulo </w:t>
      </w:r>
      <w:proofErr w:type="spellStart"/>
      <w:r>
        <w:rPr>
          <w:rFonts w:ascii="Arial" w:hAnsi="Arial" w:cs="Arial"/>
          <w:color w:val="000000"/>
          <w:sz w:val="24"/>
          <w:szCs w:val="24"/>
          <w:lang w:eastAsia="es-ES"/>
        </w:rPr>
        <w:t>Farrán</w:t>
      </w:r>
      <w:proofErr w:type="spellEnd"/>
      <w:r w:rsidRPr="00EA0066">
        <w:rPr>
          <w:rFonts w:ascii="Arial" w:hAnsi="Arial" w:cs="Arial"/>
          <w:color w:val="000000"/>
          <w:sz w:val="24"/>
          <w:szCs w:val="24"/>
          <w:lang w:eastAsia="es-ES"/>
        </w:rPr>
        <w:t>, Cuba</w:t>
      </w:r>
      <w:r>
        <w:rPr>
          <w:rFonts w:ascii="Arial" w:hAnsi="Arial" w:cs="Arial"/>
          <w:color w:val="000000"/>
          <w:sz w:val="24"/>
          <w:szCs w:val="24"/>
          <w:lang w:eastAsia="es-ES"/>
        </w:rPr>
        <w:t>.</w:t>
      </w:r>
    </w:p>
    <w:p w:rsidR="00CC245F" w:rsidRPr="00EA0066" w:rsidRDefault="009804E6" w:rsidP="007929F6">
      <w:pPr>
        <w:pStyle w:val="Sinespaciado"/>
        <w:jc w:val="both"/>
        <w:rPr>
          <w:rFonts w:ascii="Arial" w:hAnsi="Arial" w:cs="Arial"/>
          <w:color w:val="000000"/>
          <w:sz w:val="24"/>
          <w:szCs w:val="24"/>
          <w:lang w:eastAsia="es-ES"/>
        </w:rPr>
      </w:pPr>
      <w:r w:rsidRPr="00EA0066">
        <w:rPr>
          <w:rFonts w:ascii="Arial" w:hAnsi="Arial" w:cs="Arial"/>
          <w:color w:val="000000"/>
          <w:sz w:val="24"/>
          <w:szCs w:val="24"/>
          <w:lang w:eastAsia="es-ES"/>
        </w:rPr>
        <w:t>V</w:t>
      </w:r>
      <w:r w:rsidR="007D2591" w:rsidRPr="00EA0066">
        <w:rPr>
          <w:rFonts w:ascii="Arial" w:hAnsi="Arial" w:cs="Arial"/>
          <w:color w:val="000000"/>
          <w:sz w:val="24"/>
          <w:szCs w:val="24"/>
          <w:lang w:eastAsia="es-ES"/>
        </w:rPr>
        <w:t>ictor Matos Carballosa</w:t>
      </w:r>
      <w:r w:rsidR="001A797C" w:rsidRPr="00EA0066">
        <w:rPr>
          <w:rFonts w:ascii="Arial" w:hAnsi="Arial" w:cs="Arial"/>
          <w:color w:val="000000"/>
          <w:sz w:val="24"/>
          <w:szCs w:val="24"/>
          <w:lang w:eastAsia="es-ES"/>
        </w:rPr>
        <w:t xml:space="preserve">, Email: </w:t>
      </w:r>
      <w:r w:rsidRPr="00EA0066">
        <w:rPr>
          <w:rFonts w:ascii="Arial" w:hAnsi="Arial" w:cs="Arial"/>
          <w:color w:val="000000"/>
          <w:sz w:val="24"/>
          <w:szCs w:val="24"/>
          <w:lang w:eastAsia="es-ES"/>
        </w:rPr>
        <w:t>vmatos@nauta.cu Universidad de Ciencias Médicas</w:t>
      </w:r>
      <w:r w:rsidR="001A797C" w:rsidRPr="00EA0066">
        <w:rPr>
          <w:rFonts w:ascii="Arial" w:hAnsi="Arial" w:cs="Arial"/>
          <w:color w:val="000000"/>
          <w:sz w:val="24"/>
          <w:szCs w:val="24"/>
          <w:lang w:eastAsia="es-ES"/>
        </w:rPr>
        <w:t>, Profesor Instructor.</w:t>
      </w:r>
    </w:p>
    <w:p w:rsidR="00CC245F" w:rsidRPr="00EA0066" w:rsidRDefault="00CC245F" w:rsidP="004656B8">
      <w:pPr>
        <w:pStyle w:val="Ttulo1"/>
        <w:rPr>
          <w:rFonts w:ascii="Arial" w:hAnsi="Arial" w:cs="Arial"/>
          <w:sz w:val="24"/>
          <w:szCs w:val="24"/>
        </w:rPr>
      </w:pPr>
      <w:bookmarkStart w:id="0" w:name="_Toc451424583"/>
      <w:r w:rsidRPr="00EA0066">
        <w:rPr>
          <w:rFonts w:ascii="Arial" w:hAnsi="Arial" w:cs="Arial"/>
          <w:sz w:val="24"/>
          <w:szCs w:val="24"/>
        </w:rPr>
        <w:t>RESUMEN</w:t>
      </w:r>
      <w:bookmarkEnd w:id="0"/>
    </w:p>
    <w:p w:rsidR="00FA60B2" w:rsidRPr="00EA0066" w:rsidRDefault="00FA60B2" w:rsidP="007929F6">
      <w:pPr>
        <w:pStyle w:val="Arial12"/>
        <w:spacing w:line="240" w:lineRule="auto"/>
        <w:rPr>
          <w:rFonts w:cs="Arial"/>
        </w:rPr>
      </w:pPr>
      <w:r w:rsidRPr="00EA0066">
        <w:rPr>
          <w:rFonts w:cs="Arial"/>
          <w:b/>
        </w:rPr>
        <w:t>Introducción:</w:t>
      </w:r>
      <w:r w:rsidRPr="00EA0066">
        <w:rPr>
          <w:rFonts w:cs="Arial"/>
        </w:rPr>
        <w:t xml:space="preserve"> El envejecimiento poblacional es un fenómeno que ocurre en todos los países en mayor o menor grado. La recuperación y mantenimiento de la salud y funcionalidad de la cavidad bucal en el anciano </w:t>
      </w:r>
      <w:r w:rsidR="007929F6" w:rsidRPr="00EA0066">
        <w:rPr>
          <w:rFonts w:cs="Arial"/>
        </w:rPr>
        <w:t>repercuten</w:t>
      </w:r>
      <w:r w:rsidRPr="00EA0066">
        <w:rPr>
          <w:rFonts w:cs="Arial"/>
        </w:rPr>
        <w:t xml:space="preserve"> de manera significativa en su calidad de vida.</w:t>
      </w:r>
    </w:p>
    <w:p w:rsidR="00FA60B2" w:rsidRPr="00EA0066" w:rsidRDefault="00FA60B2" w:rsidP="007929F6">
      <w:pPr>
        <w:pStyle w:val="Arial12"/>
        <w:spacing w:line="240" w:lineRule="auto"/>
        <w:rPr>
          <w:rFonts w:cs="Arial"/>
        </w:rPr>
      </w:pPr>
      <w:r w:rsidRPr="00EA0066">
        <w:rPr>
          <w:rFonts w:cs="Arial"/>
          <w:b/>
        </w:rPr>
        <w:t>Objetivo:</w:t>
      </w:r>
      <w:r w:rsidRPr="00EA0066">
        <w:rPr>
          <w:rFonts w:cs="Arial"/>
        </w:rPr>
        <w:t xml:space="preserve"> Describir el estado de salud bucal de los ancianos de la casa de abuelos de Santa Lucía, municipio Rafael Freyre, Holguín en el período de enero a marzo de 201</w:t>
      </w:r>
      <w:r w:rsidR="001A797C" w:rsidRPr="00EA0066">
        <w:rPr>
          <w:rFonts w:cs="Arial"/>
        </w:rPr>
        <w:t>8</w:t>
      </w:r>
      <w:r w:rsidRPr="00EA0066">
        <w:rPr>
          <w:rFonts w:cs="Arial"/>
        </w:rPr>
        <w:t>.</w:t>
      </w:r>
    </w:p>
    <w:p w:rsidR="00F35A9D" w:rsidRPr="00EA0066" w:rsidRDefault="00F35A9D" w:rsidP="007929F6">
      <w:pPr>
        <w:pStyle w:val="Arial12"/>
        <w:spacing w:line="240" w:lineRule="auto"/>
        <w:rPr>
          <w:rFonts w:cs="Arial"/>
        </w:rPr>
      </w:pPr>
      <w:r w:rsidRPr="00EA0066">
        <w:rPr>
          <w:rFonts w:cs="Arial"/>
          <w:b/>
        </w:rPr>
        <w:t xml:space="preserve">Métodos: </w:t>
      </w:r>
      <w:r w:rsidRPr="00EA0066">
        <w:rPr>
          <w:rFonts w:cs="Arial"/>
        </w:rPr>
        <w:t xml:space="preserve">Se realizó un estudio observacional, descriptivo transversal. El universo de fueron 43 adultos mayores y se tomó una muestra de 40 a partir del criterio del consentimiento informado de participar en la investigación. Se realizó un interrogatorio y el examen oral de los pacientes y se preservaron debidamente los principios éticos. </w:t>
      </w:r>
    </w:p>
    <w:p w:rsidR="006E3A7E" w:rsidRPr="00EA0066" w:rsidRDefault="00F35A9D" w:rsidP="007929F6">
      <w:pPr>
        <w:jc w:val="both"/>
        <w:rPr>
          <w:rFonts w:ascii="Arial" w:hAnsi="Arial" w:cs="Arial"/>
        </w:rPr>
      </w:pPr>
      <w:r w:rsidRPr="00EA0066">
        <w:rPr>
          <w:rFonts w:ascii="Arial" w:hAnsi="Arial" w:cs="Arial"/>
          <w:b/>
        </w:rPr>
        <w:t>Resultados:</w:t>
      </w:r>
      <w:r w:rsidR="006E3A7E" w:rsidRPr="00EA0066">
        <w:rPr>
          <w:rFonts w:ascii="Arial" w:hAnsi="Arial" w:cs="Arial"/>
          <w:color w:val="000000"/>
        </w:rPr>
        <w:t xml:space="preserve"> predominó el sexo masculino (57,5%) y las edades de 60 a 74 años (70%</w:t>
      </w:r>
      <w:r w:rsidR="00A669B5" w:rsidRPr="00EA0066">
        <w:rPr>
          <w:rFonts w:ascii="Arial" w:hAnsi="Arial" w:cs="Arial"/>
          <w:color w:val="000000"/>
        </w:rPr>
        <w:t>)</w:t>
      </w:r>
      <w:r w:rsidR="006E3A7E" w:rsidRPr="00EA0066">
        <w:rPr>
          <w:rFonts w:ascii="Arial" w:hAnsi="Arial" w:cs="Arial"/>
          <w:color w:val="000000"/>
        </w:rPr>
        <w:t>.</w:t>
      </w:r>
      <w:r w:rsidR="00A669B5" w:rsidRPr="00EA0066">
        <w:rPr>
          <w:rFonts w:ascii="Arial" w:hAnsi="Arial" w:cs="Arial"/>
          <w:color w:val="000000"/>
        </w:rPr>
        <w:t xml:space="preserve"> La mayoría de los examinados no necesitaban prótesis (77,5%) y la población usa la prótesis generalmente de forma interrumpida (82,9%). </w:t>
      </w:r>
    </w:p>
    <w:p w:rsidR="00F35A9D" w:rsidRPr="00EA0066" w:rsidRDefault="00A669B5" w:rsidP="007929F6">
      <w:pPr>
        <w:pStyle w:val="Arial12"/>
        <w:spacing w:line="240" w:lineRule="auto"/>
        <w:rPr>
          <w:rFonts w:cs="Arial"/>
          <w:color w:val="000000"/>
        </w:rPr>
      </w:pPr>
      <w:r w:rsidRPr="00EA0066">
        <w:rPr>
          <w:rFonts w:cs="Arial"/>
          <w:b/>
        </w:rPr>
        <w:t>Conclusiones:</w:t>
      </w:r>
      <w:r w:rsidRPr="00EA0066">
        <w:rPr>
          <w:rFonts w:cs="Arial"/>
          <w:color w:val="000000"/>
        </w:rPr>
        <w:t xml:space="preserve"> El estado de los dientes según presencia de caries y movilidad por periodontopatías fue aceptable en la mayor parte de los ancianos.</w:t>
      </w:r>
    </w:p>
    <w:p w:rsidR="00355604" w:rsidRPr="00EA0066" w:rsidRDefault="00355604" w:rsidP="007929F6">
      <w:pPr>
        <w:pStyle w:val="Arial12"/>
        <w:spacing w:before="240" w:line="240" w:lineRule="auto"/>
        <w:rPr>
          <w:rFonts w:cs="Arial"/>
        </w:rPr>
      </w:pPr>
      <w:r w:rsidRPr="00EA0066">
        <w:rPr>
          <w:rFonts w:cs="Arial"/>
          <w:b/>
        </w:rPr>
        <w:t xml:space="preserve">Palabras clave: </w:t>
      </w:r>
      <w:r w:rsidRPr="00EA0066">
        <w:rPr>
          <w:rFonts w:cs="Arial"/>
        </w:rPr>
        <w:t>adulto mayor, prótesis, salud bucal.</w:t>
      </w:r>
    </w:p>
    <w:p w:rsidR="00F01DC9" w:rsidRPr="004656B8" w:rsidRDefault="004656B8" w:rsidP="004656B8">
      <w:pPr>
        <w:pStyle w:val="Ttulo1"/>
        <w:rPr>
          <w:rFonts w:ascii="Arial" w:hAnsi="Arial" w:cs="Arial"/>
          <w:sz w:val="24"/>
          <w:szCs w:val="24"/>
        </w:rPr>
      </w:pPr>
      <w:r w:rsidRPr="004656B8">
        <w:rPr>
          <w:rFonts w:ascii="Arial" w:hAnsi="Arial" w:cs="Arial"/>
          <w:sz w:val="24"/>
          <w:szCs w:val="24"/>
        </w:rPr>
        <w:t>ABSTRACT</w:t>
      </w:r>
    </w:p>
    <w:p w:rsidR="004656B8" w:rsidRPr="00EB65EC" w:rsidRDefault="004656B8" w:rsidP="004656B8">
      <w:pPr>
        <w:pStyle w:val="Arial12"/>
        <w:spacing w:line="240" w:lineRule="auto"/>
        <w:rPr>
          <w:lang w:val="en-US"/>
        </w:rPr>
      </w:pPr>
      <w:r w:rsidRPr="00EB65EC">
        <w:rPr>
          <w:b/>
          <w:lang w:val="en-US"/>
        </w:rPr>
        <w:t>Introduction:</w:t>
      </w:r>
      <w:r w:rsidRPr="00EB65EC">
        <w:rPr>
          <w:lang w:val="en-US"/>
        </w:rPr>
        <w:t xml:space="preserve"> The aging of population is a phenomenon that occurs in all the countries in a greater or lesser degree. The recovery and maintenance of the </w:t>
      </w:r>
      <w:proofErr w:type="spellStart"/>
      <w:r w:rsidRPr="00EB65EC">
        <w:rPr>
          <w:lang w:val="en-US"/>
        </w:rPr>
        <w:t>buccal</w:t>
      </w:r>
      <w:proofErr w:type="spellEnd"/>
      <w:r w:rsidRPr="00EB65EC">
        <w:rPr>
          <w:lang w:val="en-US"/>
        </w:rPr>
        <w:t xml:space="preserve"> health and functioning of the </w:t>
      </w:r>
      <w:proofErr w:type="spellStart"/>
      <w:r w:rsidRPr="00EB65EC">
        <w:rPr>
          <w:lang w:val="en-US"/>
        </w:rPr>
        <w:t>buccal</w:t>
      </w:r>
      <w:proofErr w:type="spellEnd"/>
      <w:r w:rsidRPr="00EB65EC">
        <w:rPr>
          <w:lang w:val="en-US"/>
        </w:rPr>
        <w:t xml:space="preserve"> cavity in seniors significantly impacts </w:t>
      </w:r>
      <w:proofErr w:type="gramStart"/>
      <w:r w:rsidRPr="00EB65EC">
        <w:rPr>
          <w:lang w:val="en-US"/>
        </w:rPr>
        <w:t>their  quality</w:t>
      </w:r>
      <w:proofErr w:type="gramEnd"/>
      <w:r w:rsidRPr="00EB65EC">
        <w:rPr>
          <w:lang w:val="en-US"/>
        </w:rPr>
        <w:t xml:space="preserve"> of life. </w:t>
      </w:r>
    </w:p>
    <w:p w:rsidR="004656B8" w:rsidRPr="00EB65EC" w:rsidRDefault="004656B8" w:rsidP="004656B8">
      <w:pPr>
        <w:pStyle w:val="Arial12"/>
        <w:spacing w:line="240" w:lineRule="auto"/>
        <w:rPr>
          <w:lang w:val="en-US"/>
        </w:rPr>
      </w:pPr>
      <w:r w:rsidRPr="00EB65EC">
        <w:rPr>
          <w:b/>
          <w:lang w:val="en-US"/>
        </w:rPr>
        <w:t>Objective:</w:t>
      </w:r>
      <w:r w:rsidRPr="00EB65EC">
        <w:rPr>
          <w:lang w:val="en-US"/>
        </w:rPr>
        <w:t xml:space="preserve"> To describe the </w:t>
      </w:r>
      <w:proofErr w:type="spellStart"/>
      <w:r w:rsidRPr="00EB65EC">
        <w:rPr>
          <w:lang w:val="en-US"/>
        </w:rPr>
        <w:t>buccal</w:t>
      </w:r>
      <w:proofErr w:type="spellEnd"/>
      <w:r w:rsidRPr="00EB65EC">
        <w:rPr>
          <w:lang w:val="en-US"/>
        </w:rPr>
        <w:t xml:space="preserve"> health condition of seniors in the Nursing Home in Santa </w:t>
      </w:r>
      <w:proofErr w:type="spellStart"/>
      <w:r w:rsidRPr="00EB65EC">
        <w:rPr>
          <w:lang w:val="en-US"/>
        </w:rPr>
        <w:t>Lucía</w:t>
      </w:r>
      <w:proofErr w:type="spellEnd"/>
      <w:r w:rsidRPr="00EB65EC">
        <w:rPr>
          <w:lang w:val="en-US"/>
        </w:rPr>
        <w:t xml:space="preserve">, Rafael </w:t>
      </w:r>
      <w:proofErr w:type="spellStart"/>
      <w:r w:rsidRPr="00EB65EC">
        <w:rPr>
          <w:lang w:val="en-US"/>
        </w:rPr>
        <w:t>Freyre</w:t>
      </w:r>
      <w:proofErr w:type="spellEnd"/>
      <w:r w:rsidRPr="00EB65EC">
        <w:rPr>
          <w:lang w:val="en-US"/>
        </w:rPr>
        <w:t xml:space="preserve"> municipality, Holguín from January to March, 201</w:t>
      </w:r>
      <w:r>
        <w:rPr>
          <w:lang w:val="en-US"/>
        </w:rPr>
        <w:t>8</w:t>
      </w:r>
      <w:r w:rsidRPr="00EB65EC">
        <w:rPr>
          <w:lang w:val="en-US"/>
        </w:rPr>
        <w:t>.</w:t>
      </w:r>
    </w:p>
    <w:p w:rsidR="004656B8" w:rsidRPr="00EB65EC" w:rsidRDefault="004656B8" w:rsidP="004656B8">
      <w:pPr>
        <w:pStyle w:val="Arial12"/>
        <w:spacing w:line="240" w:lineRule="auto"/>
        <w:rPr>
          <w:lang w:val="en-US"/>
        </w:rPr>
      </w:pPr>
      <w:r w:rsidRPr="00EB65EC">
        <w:rPr>
          <w:b/>
          <w:lang w:val="en-US"/>
        </w:rPr>
        <w:t xml:space="preserve">Methods: </w:t>
      </w:r>
      <w:r w:rsidRPr="00EB65EC">
        <w:rPr>
          <w:lang w:val="en-US"/>
        </w:rPr>
        <w:t>An observational, descriptive and transversal study was carried out. The universe</w:t>
      </w:r>
      <w:r>
        <w:rPr>
          <w:lang w:val="en-US"/>
        </w:rPr>
        <w:t xml:space="preserve"> was 43 seniors and the sample </w:t>
      </w:r>
      <w:r w:rsidRPr="00EB65EC">
        <w:rPr>
          <w:lang w:val="en-US"/>
        </w:rPr>
        <w:t xml:space="preserve">was 40 based on the criterion of their informed </w:t>
      </w:r>
      <w:r w:rsidRPr="00EB65EC">
        <w:rPr>
          <w:lang w:val="en-US"/>
        </w:rPr>
        <w:lastRenderedPageBreak/>
        <w:t>consent for participating in the resear</w:t>
      </w:r>
      <w:r>
        <w:rPr>
          <w:lang w:val="en-US"/>
        </w:rPr>
        <w:t xml:space="preserve">ch. A questionnaire </w:t>
      </w:r>
      <w:proofErr w:type="spellStart"/>
      <w:r>
        <w:rPr>
          <w:lang w:val="en-US"/>
        </w:rPr>
        <w:t>was</w:t>
      </w:r>
      <w:r w:rsidRPr="00EB65EC">
        <w:rPr>
          <w:lang w:val="en-US"/>
        </w:rPr>
        <w:t>made</w:t>
      </w:r>
      <w:proofErr w:type="spellEnd"/>
      <w:r w:rsidRPr="00EB65EC">
        <w:rPr>
          <w:lang w:val="en-US"/>
        </w:rPr>
        <w:t>, also the oral examination of the patients and the ethical principles were appropriately kept.</w:t>
      </w:r>
    </w:p>
    <w:p w:rsidR="004656B8" w:rsidRPr="00EB65EC" w:rsidRDefault="004656B8" w:rsidP="004656B8">
      <w:pPr>
        <w:jc w:val="both"/>
        <w:rPr>
          <w:rFonts w:ascii="Arial" w:hAnsi="Arial" w:cs="Arial"/>
          <w:lang w:val="en-US"/>
        </w:rPr>
      </w:pPr>
      <w:r w:rsidRPr="00EB65EC">
        <w:rPr>
          <w:rFonts w:ascii="Arial" w:hAnsi="Arial" w:cs="Arial"/>
          <w:b/>
          <w:lang w:val="en-US"/>
        </w:rPr>
        <w:t>Results:</w:t>
      </w:r>
      <w:r w:rsidRPr="00EB65EC">
        <w:rPr>
          <w:rFonts w:ascii="Arial" w:hAnsi="Arial" w:cs="Arial"/>
          <w:color w:val="000000"/>
          <w:lang w:val="en-US"/>
        </w:rPr>
        <w:t xml:space="preserve"> Masculine sex prevailed (57</w:t>
      </w:r>
      <w:proofErr w:type="gramStart"/>
      <w:r w:rsidRPr="00EB65EC">
        <w:rPr>
          <w:rFonts w:ascii="Arial" w:hAnsi="Arial" w:cs="Arial"/>
          <w:color w:val="000000"/>
          <w:lang w:val="en-US"/>
        </w:rPr>
        <w:t>,5</w:t>
      </w:r>
      <w:proofErr w:type="gramEnd"/>
      <w:r w:rsidRPr="00EB65EC">
        <w:rPr>
          <w:rFonts w:ascii="Arial" w:hAnsi="Arial" w:cs="Arial"/>
          <w:color w:val="000000"/>
          <w:lang w:val="en-US"/>
        </w:rPr>
        <w:t>%) and the ages between  60 to 74 years (70%). The majority of the people examined do not need prosthesis (77</w:t>
      </w:r>
      <w:proofErr w:type="gramStart"/>
      <w:r w:rsidRPr="00EB65EC">
        <w:rPr>
          <w:rFonts w:ascii="Arial" w:hAnsi="Arial" w:cs="Arial"/>
          <w:color w:val="000000"/>
          <w:lang w:val="en-US"/>
        </w:rPr>
        <w:t>,5</w:t>
      </w:r>
      <w:proofErr w:type="gramEnd"/>
      <w:r w:rsidRPr="00EB65EC">
        <w:rPr>
          <w:rFonts w:ascii="Arial" w:hAnsi="Arial" w:cs="Arial"/>
          <w:color w:val="000000"/>
          <w:lang w:val="en-US"/>
        </w:rPr>
        <w:t xml:space="preserve">%) and the population uses the prosthesis in an interrupted way (82,9%). </w:t>
      </w:r>
    </w:p>
    <w:p w:rsidR="004656B8" w:rsidRPr="00EB65EC" w:rsidRDefault="004656B8" w:rsidP="004656B8">
      <w:pPr>
        <w:pStyle w:val="Arial12"/>
        <w:spacing w:line="240" w:lineRule="auto"/>
        <w:rPr>
          <w:color w:val="000000"/>
          <w:lang w:val="en-US"/>
        </w:rPr>
      </w:pPr>
      <w:r w:rsidRPr="00EB65EC">
        <w:rPr>
          <w:b/>
          <w:lang w:val="en-US"/>
        </w:rPr>
        <w:t>Conclusions:</w:t>
      </w:r>
      <w:r w:rsidRPr="00EB65EC">
        <w:rPr>
          <w:color w:val="000000"/>
          <w:lang w:val="en-US"/>
        </w:rPr>
        <w:t xml:space="preserve"> The condition of teeth according to the presence of cavities and the mobility by </w:t>
      </w:r>
      <w:proofErr w:type="spellStart"/>
      <w:r w:rsidRPr="00EB65EC">
        <w:rPr>
          <w:color w:val="000000"/>
          <w:lang w:val="en-US"/>
        </w:rPr>
        <w:t>periodontopathies</w:t>
      </w:r>
      <w:proofErr w:type="spellEnd"/>
      <w:r w:rsidRPr="00EB65EC">
        <w:rPr>
          <w:color w:val="000000"/>
          <w:lang w:val="en-US"/>
        </w:rPr>
        <w:t xml:space="preserve"> was acceptable in most of the seniors. </w:t>
      </w:r>
    </w:p>
    <w:p w:rsidR="004656B8" w:rsidRPr="00EB65EC" w:rsidRDefault="004656B8" w:rsidP="004656B8">
      <w:pPr>
        <w:pStyle w:val="Arial12"/>
        <w:spacing w:before="240" w:line="240" w:lineRule="auto"/>
        <w:rPr>
          <w:lang w:val="en-US"/>
        </w:rPr>
      </w:pPr>
      <w:r w:rsidRPr="00EB65EC">
        <w:rPr>
          <w:b/>
          <w:lang w:val="en-US"/>
        </w:rPr>
        <w:t>Key words:</w:t>
      </w:r>
      <w:r w:rsidRPr="00EB65EC">
        <w:rPr>
          <w:lang w:val="en-US"/>
        </w:rPr>
        <w:t xml:space="preserve"> senior, prosthesis, </w:t>
      </w:r>
      <w:r>
        <w:rPr>
          <w:lang w:val="en-US"/>
        </w:rPr>
        <w:t>oral</w:t>
      </w:r>
      <w:r w:rsidRPr="00EB65EC">
        <w:rPr>
          <w:lang w:val="en-US"/>
        </w:rPr>
        <w:t xml:space="preserve"> health </w:t>
      </w:r>
    </w:p>
    <w:p w:rsidR="000F6619" w:rsidRPr="00EA0066" w:rsidRDefault="000F6619" w:rsidP="007929F6">
      <w:pPr>
        <w:pStyle w:val="Arial12"/>
        <w:spacing w:before="240" w:line="240" w:lineRule="auto"/>
        <w:ind w:right="-35"/>
        <w:rPr>
          <w:rFonts w:cs="Arial"/>
          <w:b/>
        </w:rPr>
      </w:pPr>
      <w:r w:rsidRPr="00EA0066">
        <w:rPr>
          <w:rFonts w:cs="Arial"/>
          <w:b/>
        </w:rPr>
        <w:t>INTRODUCCIÓN</w:t>
      </w:r>
    </w:p>
    <w:p w:rsidR="002C7154" w:rsidRPr="00EA0066" w:rsidRDefault="002C7154" w:rsidP="007929F6">
      <w:pPr>
        <w:pStyle w:val="Arial12"/>
        <w:spacing w:before="240" w:line="240" w:lineRule="auto"/>
        <w:ind w:right="-35"/>
        <w:rPr>
          <w:rFonts w:cs="Arial"/>
          <w:vertAlign w:val="superscript"/>
        </w:rPr>
      </w:pPr>
      <w:r w:rsidRPr="00EA0066">
        <w:rPr>
          <w:rFonts w:cs="Arial"/>
        </w:rPr>
        <w:t>El envejecimiento individual poblacional constituye un gran logro para las sociedades; pero además se transforma en un problema, sí no somos capaces de brindar soluciones adecuadas.</w:t>
      </w:r>
      <w:r w:rsidRPr="00EA0066">
        <w:rPr>
          <w:rFonts w:cs="Arial"/>
          <w:vertAlign w:val="superscript"/>
        </w:rPr>
        <w:t>1</w:t>
      </w:r>
    </w:p>
    <w:p w:rsidR="002C7154" w:rsidRPr="00EA0066" w:rsidRDefault="002C7154" w:rsidP="007929F6">
      <w:pPr>
        <w:pStyle w:val="Arial12"/>
        <w:spacing w:before="240" w:line="240" w:lineRule="auto"/>
        <w:ind w:right="-35"/>
        <w:rPr>
          <w:rFonts w:cs="Arial"/>
          <w:vertAlign w:val="superscript"/>
        </w:rPr>
      </w:pPr>
      <w:r w:rsidRPr="00EA0066">
        <w:rPr>
          <w:rFonts w:cs="Arial"/>
        </w:rPr>
        <w:t>El envejecimiento poblacional es un fenómeno que ocurre en todos los países en mayor o menor grado, lo que provoca un incremento en el número y proporción de las personas ancianas.Muchos han sido los estudios sobre este fenómeno desde 1975 había en el mundo 350 millones de ancianos, cifra que aumentó a 600 millones en el 2000 y que casi se volverá a duplicar en 2025 cuando ascienda a 1 100 millones.En el siglo XIII se era viejo a los 30 años de edad, a principios del Siglo XIX a los 40 años y, actualmente, el envejecimiento considerado cronológicamente es variable.</w:t>
      </w:r>
      <w:r w:rsidRPr="00EA0066">
        <w:rPr>
          <w:rFonts w:cs="Arial"/>
          <w:vertAlign w:val="superscript"/>
        </w:rPr>
        <w:t xml:space="preserve"> 2</w:t>
      </w:r>
    </w:p>
    <w:p w:rsidR="002C7154" w:rsidRPr="00EA0066" w:rsidRDefault="002C7154" w:rsidP="007929F6">
      <w:pPr>
        <w:pStyle w:val="Arial12"/>
        <w:spacing w:before="240" w:line="240" w:lineRule="auto"/>
        <w:ind w:right="-35"/>
        <w:rPr>
          <w:rFonts w:cs="Arial"/>
          <w:vertAlign w:val="superscript"/>
        </w:rPr>
      </w:pPr>
      <w:r w:rsidRPr="00EA0066">
        <w:rPr>
          <w:rFonts w:cs="Arial"/>
        </w:rPr>
        <w:t>En Cuba, existe el Programa de Atención al Adulto Mayor, en él se recogen las actividades relacionadas con la promoción de salud y la prevención de enfermedades, estás acciones están dirigidas a mejorar la calidad de vida del adulto mayor que constituye a su vez un grupo priorizado dentro del Programa Nacional de Atención Estomatológica Integral a la   Población.</w:t>
      </w:r>
      <w:r w:rsidRPr="00EA0066">
        <w:rPr>
          <w:rFonts w:cs="Arial"/>
          <w:vertAlign w:val="superscript"/>
        </w:rPr>
        <w:t>1</w:t>
      </w:r>
    </w:p>
    <w:p w:rsidR="002C7154" w:rsidRPr="00EA0066" w:rsidRDefault="002C7154" w:rsidP="007929F6">
      <w:pPr>
        <w:pStyle w:val="Arial12"/>
        <w:spacing w:before="240" w:line="240" w:lineRule="auto"/>
        <w:ind w:right="-35"/>
        <w:rPr>
          <w:rFonts w:cs="Arial"/>
          <w:vertAlign w:val="superscript"/>
        </w:rPr>
      </w:pPr>
      <w:r w:rsidRPr="00EA0066">
        <w:rPr>
          <w:rFonts w:cs="Arial"/>
        </w:rPr>
        <w:t>La salud bucal, no solamente está relacionada con la presencia de los dientes de forma natural o artificial, se relaciona con el estado en que se encuentran los mismos, además el estado de los tejidos blandos de la cavidad bucal que no perturben la capacidad funcional de la cavidad bucal en específico y la salud general del individuo. Es de importancia primordial, la conservación de la salud bucal, para tener una correcta nutrición y una relación con los semejantes. Los adultos mayores en su mayoría le restan importancia a su conservación y a la relación que puede existir con la salud general.</w:t>
      </w:r>
      <w:r w:rsidRPr="00EA0066">
        <w:rPr>
          <w:rFonts w:cs="Arial"/>
          <w:vertAlign w:val="superscript"/>
        </w:rPr>
        <w:t>1</w:t>
      </w:r>
    </w:p>
    <w:p w:rsidR="002C7154" w:rsidRPr="00EA0066" w:rsidRDefault="002C7154" w:rsidP="007929F6">
      <w:pPr>
        <w:pStyle w:val="Arial12"/>
        <w:spacing w:before="240" w:line="240" w:lineRule="auto"/>
        <w:ind w:right="-35"/>
        <w:rPr>
          <w:rFonts w:cs="Arial"/>
          <w:vertAlign w:val="superscript"/>
        </w:rPr>
      </w:pPr>
      <w:r w:rsidRPr="00EA0066">
        <w:rPr>
          <w:rFonts w:cs="Arial"/>
        </w:rPr>
        <w:t>Analizando el concepto de salud bucodental del adulto mayor, se define diferente al resto de la población, ya que se considera como la salud funcional y es la que le permite al individuo vivir a plenitud de acuerdo con sus posibilidades y capacidad.</w:t>
      </w:r>
      <w:r w:rsidRPr="00EA0066">
        <w:rPr>
          <w:rFonts w:cs="Arial"/>
          <w:vertAlign w:val="superscript"/>
        </w:rPr>
        <w:t>1</w:t>
      </w:r>
    </w:p>
    <w:p w:rsidR="002C7154" w:rsidRPr="00EA0066" w:rsidRDefault="002C7154" w:rsidP="007929F6">
      <w:pPr>
        <w:pStyle w:val="Arial12"/>
        <w:spacing w:before="240" w:line="240" w:lineRule="auto"/>
        <w:ind w:right="-35"/>
        <w:rPr>
          <w:rFonts w:cs="Arial"/>
          <w:vertAlign w:val="superscript"/>
        </w:rPr>
      </w:pPr>
      <w:r w:rsidRPr="00EA0066">
        <w:rPr>
          <w:rFonts w:cs="Arial"/>
        </w:rPr>
        <w:t xml:space="preserve">La pérdida de dientes es elresultado principal de la caries y la enfermedad periodontal pero también de la actitud del paciente y el dentista, la viabilidad y accesibilidad a la atención odontológica y la prevalencia de estándares de cuidado. Estas enfermedades provocanque el estado dental que más prevaleceen los ancianos sea el </w:t>
      </w:r>
      <w:r w:rsidRPr="00EA0066">
        <w:rPr>
          <w:rFonts w:cs="Arial"/>
        </w:rPr>
        <w:lastRenderedPageBreak/>
        <w:t>desdentamientototal o parcial queprovoca un grado variable d</w:t>
      </w:r>
      <w:r w:rsidR="00FA60B2" w:rsidRPr="00EA0066">
        <w:rPr>
          <w:rFonts w:cs="Arial"/>
        </w:rPr>
        <w:t>e invalidez o incapacidad oral,</w:t>
      </w:r>
      <w:r w:rsidRPr="00EA0066">
        <w:rPr>
          <w:rFonts w:cs="Arial"/>
        </w:rPr>
        <w:t xml:space="preserve"> solo mejorable con una óptima rehabilitación protésica.</w:t>
      </w:r>
      <w:r w:rsidR="004834DC" w:rsidRPr="00EA0066">
        <w:rPr>
          <w:rFonts w:cs="Arial"/>
          <w:vertAlign w:val="superscript"/>
        </w:rPr>
        <w:t>3</w:t>
      </w:r>
    </w:p>
    <w:p w:rsidR="002C7154" w:rsidRPr="00EA0066" w:rsidRDefault="002C7154" w:rsidP="007929F6">
      <w:pPr>
        <w:pStyle w:val="Arial12"/>
        <w:spacing w:before="240" w:line="240" w:lineRule="auto"/>
        <w:ind w:right="-35"/>
        <w:rPr>
          <w:rFonts w:cs="Arial"/>
          <w:vertAlign w:val="superscript"/>
        </w:rPr>
      </w:pPr>
      <w:r w:rsidRPr="00EA0066">
        <w:rPr>
          <w:rFonts w:cs="Arial"/>
        </w:rPr>
        <w:t>Se estima que más de la mitad de las personas de más de 65 años de edad han perdido hasta dos terceras partes de los 28 dientes con las que se cuenta en promedio, y al llegar a la etapa adulta mayor sólo cuentan con diez piezas dentarias.</w:t>
      </w:r>
      <w:r w:rsidR="004834DC" w:rsidRPr="00EA0066">
        <w:rPr>
          <w:rFonts w:cs="Arial"/>
          <w:vertAlign w:val="superscript"/>
        </w:rPr>
        <w:t>4</w:t>
      </w:r>
    </w:p>
    <w:p w:rsidR="002C7154" w:rsidRPr="00EA0066" w:rsidRDefault="002C7154" w:rsidP="007929F6">
      <w:pPr>
        <w:pStyle w:val="Arial12"/>
        <w:spacing w:before="240" w:line="240" w:lineRule="auto"/>
        <w:ind w:right="-35"/>
        <w:rPr>
          <w:rFonts w:cs="Arial"/>
          <w:vertAlign w:val="superscript"/>
        </w:rPr>
      </w:pPr>
      <w:r w:rsidRPr="00EA0066">
        <w:rPr>
          <w:rFonts w:cs="Arial"/>
        </w:rPr>
        <w:t>En algunas afecciones, tales como las caries dentales, las periodontopatías y las maloclusiones, entre otras propias de la estomatología, así como las enfermedades de transmisión sexual, la función del individuo es determinante, pero solo estará en condiciones de enfrentar la problemática de salud si tiene una cultura sanitaria que le permita practicar el autocu</w:t>
      </w:r>
      <w:r w:rsidR="004834DC" w:rsidRPr="00EA0066">
        <w:rPr>
          <w:rFonts w:cs="Arial"/>
        </w:rPr>
        <w:t>idado y la autorresponsabilidad</w:t>
      </w:r>
      <w:r w:rsidRPr="00EA0066">
        <w:rPr>
          <w:rFonts w:cs="Arial"/>
        </w:rPr>
        <w:t>.</w:t>
      </w:r>
      <w:r w:rsidR="004834DC" w:rsidRPr="00EA0066">
        <w:rPr>
          <w:rFonts w:cs="Arial"/>
          <w:vertAlign w:val="superscript"/>
        </w:rPr>
        <w:t>5</w:t>
      </w:r>
    </w:p>
    <w:p w:rsidR="002C7154" w:rsidRPr="00EA0066" w:rsidRDefault="002C7154" w:rsidP="007929F6">
      <w:pPr>
        <w:pStyle w:val="Arial12"/>
        <w:spacing w:before="240" w:line="240" w:lineRule="auto"/>
        <w:ind w:right="-35"/>
        <w:rPr>
          <w:rFonts w:cs="Arial"/>
          <w:vertAlign w:val="superscript"/>
        </w:rPr>
      </w:pPr>
      <w:r w:rsidRPr="00EA0066">
        <w:rPr>
          <w:rFonts w:cs="Arial"/>
        </w:rPr>
        <w:t>El autodiagnóstico y autocuidado posibilitan el desarrollo de acciones de salud junto a la población adulta, pues la pérdida dentaria produce incapacidades que no siempre son percibidas como problemas funcionales relevantes.</w:t>
      </w:r>
      <w:r w:rsidR="004834DC" w:rsidRPr="00EA0066">
        <w:rPr>
          <w:rFonts w:cs="Arial"/>
          <w:vertAlign w:val="superscript"/>
        </w:rPr>
        <w:t>6</w:t>
      </w:r>
    </w:p>
    <w:p w:rsidR="002C7154" w:rsidRPr="00EA0066" w:rsidRDefault="002C7154" w:rsidP="007929F6">
      <w:pPr>
        <w:pStyle w:val="Arial12"/>
        <w:spacing w:before="240" w:line="240" w:lineRule="auto"/>
        <w:ind w:right="-35"/>
        <w:rPr>
          <w:rFonts w:cs="Arial"/>
          <w:vertAlign w:val="superscript"/>
        </w:rPr>
      </w:pPr>
      <w:r w:rsidRPr="00EA0066">
        <w:rPr>
          <w:rFonts w:cs="Arial"/>
        </w:rPr>
        <w:t xml:space="preserve">La recuperación y mantenimiento de la salud y funcionalidad de la cavidad bucal en el anciano repercute de manera significativa en su calidad de vida y la responsabilidad de esta labor no recae solamente en manos de la profesión Odontológica sino en las de todo profesional de la salud o de las humanidades y particularmente en todas las familias en cuyo interior hay alguna persona adulta mayor.  En el envejecimiento aumenta el riesgo de adquirir enfermedades e incapacidades, y con ello, la necesidad de trazar metas para mejorar la salud bucal del adulto mayor incrementando su calidad de vida. Numerosos estudios relacionados con este tema se han realizado en diferentes partes del mundo como en Argentina, Chile y Costa Rica donde se evidencias los problemas de salud bucodental presente en este grupo poblacional. </w:t>
      </w:r>
      <w:r w:rsidRPr="00EA0066">
        <w:rPr>
          <w:rFonts w:cs="Arial"/>
          <w:vertAlign w:val="superscript"/>
        </w:rPr>
        <w:t xml:space="preserve">7      </w:t>
      </w:r>
    </w:p>
    <w:p w:rsidR="00E47D4E" w:rsidRPr="00EA0066" w:rsidRDefault="00E47D4E" w:rsidP="007929F6">
      <w:pPr>
        <w:pStyle w:val="NormalWeb"/>
        <w:spacing w:before="240" w:beforeAutospacing="0" w:after="0" w:afterAutospacing="0"/>
        <w:jc w:val="both"/>
        <w:rPr>
          <w:rFonts w:ascii="Arial" w:hAnsi="Arial" w:cs="Arial"/>
          <w:sz w:val="24"/>
          <w:szCs w:val="24"/>
        </w:rPr>
      </w:pPr>
      <w:r w:rsidRPr="00EA0066">
        <w:rPr>
          <w:rFonts w:ascii="Arial" w:hAnsi="Arial" w:cs="Arial"/>
          <w:sz w:val="24"/>
          <w:szCs w:val="24"/>
        </w:rPr>
        <w:t xml:space="preserve">   En investigaciones realizadas los principales problemas de salud bucal encontrados en los adultos mayores fueron los siguientes:</w:t>
      </w:r>
    </w:p>
    <w:p w:rsidR="00E47D4E" w:rsidRPr="00EA0066" w:rsidRDefault="00E47D4E" w:rsidP="007929F6">
      <w:pPr>
        <w:pStyle w:val="NormalWeb"/>
        <w:numPr>
          <w:ilvl w:val="0"/>
          <w:numId w:val="5"/>
        </w:numPr>
        <w:spacing w:before="240" w:beforeAutospacing="0" w:after="0" w:afterAutospacing="0"/>
        <w:jc w:val="both"/>
        <w:rPr>
          <w:rFonts w:ascii="Arial" w:hAnsi="Arial" w:cs="Arial"/>
          <w:sz w:val="24"/>
          <w:szCs w:val="24"/>
        </w:rPr>
      </w:pPr>
      <w:r w:rsidRPr="00EA0066">
        <w:rPr>
          <w:rFonts w:ascii="Arial" w:hAnsi="Arial" w:cs="Arial"/>
          <w:sz w:val="24"/>
          <w:szCs w:val="24"/>
        </w:rPr>
        <w:t>Carencia de información pertinente sobre higiene y salud bucodental.</w:t>
      </w:r>
    </w:p>
    <w:p w:rsidR="00E47D4E" w:rsidRPr="00EA0066" w:rsidRDefault="00E47D4E" w:rsidP="007929F6">
      <w:pPr>
        <w:pStyle w:val="NormalWeb"/>
        <w:numPr>
          <w:ilvl w:val="0"/>
          <w:numId w:val="5"/>
        </w:numPr>
        <w:spacing w:before="240" w:beforeAutospacing="0" w:after="0" w:afterAutospacing="0"/>
        <w:jc w:val="both"/>
        <w:rPr>
          <w:rFonts w:ascii="Arial" w:hAnsi="Arial" w:cs="Arial"/>
          <w:sz w:val="24"/>
          <w:szCs w:val="24"/>
        </w:rPr>
      </w:pPr>
      <w:r w:rsidRPr="00EA0066">
        <w:rPr>
          <w:rFonts w:ascii="Arial" w:hAnsi="Arial" w:cs="Arial"/>
          <w:sz w:val="24"/>
          <w:szCs w:val="24"/>
        </w:rPr>
        <w:t>Indiferencia por parte de muchos familiares e incluso adultos mayores hacia el cuidado y conservación de sus piezas dentarias.</w:t>
      </w:r>
    </w:p>
    <w:p w:rsidR="00E47D4E" w:rsidRPr="00EA0066" w:rsidRDefault="00E47D4E" w:rsidP="007929F6">
      <w:pPr>
        <w:pStyle w:val="NormalWeb"/>
        <w:numPr>
          <w:ilvl w:val="0"/>
          <w:numId w:val="5"/>
        </w:numPr>
        <w:spacing w:before="240" w:beforeAutospacing="0" w:after="0" w:afterAutospacing="0"/>
        <w:jc w:val="both"/>
        <w:rPr>
          <w:rFonts w:ascii="Arial" w:hAnsi="Arial" w:cs="Arial"/>
          <w:sz w:val="24"/>
          <w:szCs w:val="24"/>
          <w:vertAlign w:val="superscript"/>
        </w:rPr>
      </w:pPr>
      <w:r w:rsidRPr="00EA0066">
        <w:rPr>
          <w:rFonts w:ascii="Arial" w:hAnsi="Arial" w:cs="Arial"/>
          <w:sz w:val="24"/>
          <w:szCs w:val="24"/>
        </w:rPr>
        <w:t>Escaso o ningún hábito de asistir al estomatólogo</w:t>
      </w:r>
      <w:r w:rsidRPr="00EA0066">
        <w:rPr>
          <w:rFonts w:ascii="Arial" w:hAnsi="Arial" w:cs="Arial"/>
          <w:sz w:val="24"/>
          <w:szCs w:val="24"/>
          <w:vertAlign w:val="superscript"/>
        </w:rPr>
        <w:t xml:space="preserve">. </w:t>
      </w:r>
    </w:p>
    <w:p w:rsidR="00E47D4E" w:rsidRPr="00EA0066" w:rsidRDefault="00E47D4E" w:rsidP="007929F6">
      <w:pPr>
        <w:shd w:val="clear" w:color="auto" w:fill="FFFFFF"/>
        <w:spacing w:before="240"/>
        <w:jc w:val="both"/>
        <w:rPr>
          <w:rFonts w:ascii="Arial" w:hAnsi="Arial" w:cs="Arial"/>
          <w:vertAlign w:val="superscript"/>
        </w:rPr>
      </w:pPr>
      <w:r w:rsidRPr="00EA0066">
        <w:rPr>
          <w:rFonts w:ascii="Arial" w:hAnsi="Arial" w:cs="Arial"/>
        </w:rPr>
        <w:t>Los hábitos de higiene y cuidado bucal del adulto mayor son indispensables para lograr una buena salud bucodental, que se puede ver afectada por incapacidad física, enfermedades sistémicas asociadas, accesibilidad a los servicios de salud.</w:t>
      </w:r>
      <w:r w:rsidR="004834DC" w:rsidRPr="00EA0066">
        <w:rPr>
          <w:rFonts w:ascii="Arial" w:hAnsi="Arial" w:cs="Arial"/>
          <w:vertAlign w:val="superscript"/>
        </w:rPr>
        <w:t>8</w:t>
      </w:r>
      <w:r w:rsidRPr="00EA0066">
        <w:rPr>
          <w:rFonts w:ascii="Arial" w:hAnsi="Arial" w:cs="Arial"/>
          <w:vertAlign w:val="superscript"/>
        </w:rPr>
        <w:t xml:space="preserve">, </w:t>
      </w:r>
      <w:r w:rsidR="004834DC" w:rsidRPr="00EA0066">
        <w:rPr>
          <w:rFonts w:ascii="Arial" w:hAnsi="Arial" w:cs="Arial"/>
          <w:vertAlign w:val="superscript"/>
        </w:rPr>
        <w:t>9</w:t>
      </w:r>
    </w:p>
    <w:p w:rsidR="00E47D4E" w:rsidRPr="00EA0066" w:rsidRDefault="00E47D4E" w:rsidP="007929F6">
      <w:pPr>
        <w:shd w:val="clear" w:color="auto" w:fill="FFFFFF"/>
        <w:spacing w:before="240"/>
        <w:jc w:val="both"/>
        <w:rPr>
          <w:rFonts w:ascii="Arial" w:hAnsi="Arial" w:cs="Arial"/>
        </w:rPr>
      </w:pPr>
      <w:r w:rsidRPr="00EA0066">
        <w:rPr>
          <w:rFonts w:ascii="Arial" w:hAnsi="Arial" w:cs="Arial"/>
        </w:rPr>
        <w:t xml:space="preserve">Se debe mantener la salud bucodental y recuperarla cuando se ha perdido en el adulto mayor para mantener su funcionalidad y ofrecer condiciones para mejorar su calidad de vida. Esta tarea debe ser realizada en forma conjunta por todos los profesionales en Salud, instituciones, la comunidad, familiares, </w:t>
      </w:r>
      <w:r w:rsidR="006E3A7E" w:rsidRPr="00EA0066">
        <w:rPr>
          <w:rFonts w:ascii="Arial" w:hAnsi="Arial" w:cs="Arial"/>
        </w:rPr>
        <w:t>sobre todo porque en cada hogar</w:t>
      </w:r>
      <w:r w:rsidRPr="00EA0066">
        <w:rPr>
          <w:rFonts w:ascii="Arial" w:hAnsi="Arial" w:cs="Arial"/>
        </w:rPr>
        <w:t xml:space="preserve"> hay uno o más ancianos que forman parte del núcleo familiar. </w:t>
      </w:r>
      <w:r w:rsidR="004834DC" w:rsidRPr="00EA0066">
        <w:rPr>
          <w:rFonts w:ascii="Arial" w:hAnsi="Arial" w:cs="Arial"/>
          <w:vertAlign w:val="superscript"/>
        </w:rPr>
        <w:t>10</w:t>
      </w:r>
    </w:p>
    <w:p w:rsidR="002C7154" w:rsidRPr="00EA0066" w:rsidRDefault="002C7154" w:rsidP="007929F6">
      <w:pPr>
        <w:shd w:val="clear" w:color="auto" w:fill="FFFFFF"/>
        <w:spacing w:before="240"/>
        <w:jc w:val="both"/>
        <w:rPr>
          <w:rFonts w:ascii="Arial" w:hAnsi="Arial" w:cs="Arial"/>
        </w:rPr>
      </w:pPr>
      <w:r w:rsidRPr="00EA0066">
        <w:rPr>
          <w:rFonts w:ascii="Arial" w:hAnsi="Arial" w:cs="Arial"/>
        </w:rPr>
        <w:lastRenderedPageBreak/>
        <w:t>En nuestro país también se han realizado estudios sobre el adulto mayor en diferentes provincias, pero en el municipio Rafael Freyre</w:t>
      </w:r>
      <w:r w:rsidR="00E74B6A" w:rsidRPr="00EA0066">
        <w:rPr>
          <w:rFonts w:ascii="Arial" w:hAnsi="Arial" w:cs="Arial"/>
        </w:rPr>
        <w:t xml:space="preserve"> de Holguín</w:t>
      </w:r>
      <w:r w:rsidRPr="00EA0066">
        <w:rPr>
          <w:rFonts w:ascii="Arial" w:hAnsi="Arial" w:cs="Arial"/>
        </w:rPr>
        <w:t xml:space="preserve"> son escasos los estudios efectuados al respecto.</w:t>
      </w:r>
    </w:p>
    <w:p w:rsidR="002C7154" w:rsidRPr="00EA0066" w:rsidRDefault="00E74B6A" w:rsidP="007929F6">
      <w:pPr>
        <w:shd w:val="clear" w:color="auto" w:fill="FFFFFF"/>
        <w:spacing w:before="240"/>
        <w:jc w:val="both"/>
        <w:rPr>
          <w:rFonts w:ascii="Arial" w:hAnsi="Arial" w:cs="Arial"/>
        </w:rPr>
      </w:pPr>
      <w:r w:rsidRPr="00EA0066">
        <w:rPr>
          <w:rFonts w:ascii="Arial" w:hAnsi="Arial" w:cs="Arial"/>
          <w:b/>
        </w:rPr>
        <w:t>Problema científico:</w:t>
      </w:r>
      <w:r w:rsidR="002C7154" w:rsidRPr="00EA0066">
        <w:rPr>
          <w:rFonts w:ascii="Arial" w:hAnsi="Arial" w:cs="Arial"/>
        </w:rPr>
        <w:t>¿Cuál es el estado de salud bucal de los ancianos de la casa de abuelos de Santa Lucía?</w:t>
      </w:r>
    </w:p>
    <w:p w:rsidR="002C7154" w:rsidRPr="00EA0066" w:rsidRDefault="00B940CD" w:rsidP="007929F6">
      <w:pPr>
        <w:shd w:val="clear" w:color="auto" w:fill="FFFFFF"/>
        <w:spacing w:before="240"/>
        <w:jc w:val="both"/>
        <w:rPr>
          <w:rFonts w:ascii="Arial" w:hAnsi="Arial" w:cs="Arial"/>
        </w:rPr>
      </w:pPr>
      <w:r w:rsidRPr="00EA0066">
        <w:rPr>
          <w:rFonts w:ascii="Arial" w:hAnsi="Arial" w:cs="Arial"/>
          <w:b/>
        </w:rPr>
        <w:t>Objetivo:</w:t>
      </w:r>
      <w:r w:rsidRPr="00EA0066">
        <w:rPr>
          <w:rFonts w:ascii="Arial" w:hAnsi="Arial" w:cs="Arial"/>
        </w:rPr>
        <w:t xml:space="preserve"> Describir el estado de salud bucal de los ancianos de la casa de abuelos de Santa Lucía, municipio Rafael Freyre, Holguín en el </w:t>
      </w:r>
      <w:r w:rsidR="00F01DC9" w:rsidRPr="00EA0066">
        <w:rPr>
          <w:rFonts w:ascii="Arial" w:hAnsi="Arial" w:cs="Arial"/>
        </w:rPr>
        <w:t>período de enero a marzo de 2018</w:t>
      </w:r>
      <w:r w:rsidRPr="00EA0066">
        <w:rPr>
          <w:rFonts w:ascii="Arial" w:hAnsi="Arial" w:cs="Arial"/>
        </w:rPr>
        <w:t>.</w:t>
      </w:r>
    </w:p>
    <w:p w:rsidR="00F01DC9" w:rsidRPr="00EA0066" w:rsidRDefault="00366C33" w:rsidP="007929F6">
      <w:pPr>
        <w:pStyle w:val="Arial12"/>
        <w:spacing w:before="240" w:line="240" w:lineRule="auto"/>
        <w:ind w:right="-35"/>
        <w:rPr>
          <w:rFonts w:cs="Arial"/>
          <w:b/>
        </w:rPr>
      </w:pPr>
      <w:r w:rsidRPr="00EA0066">
        <w:rPr>
          <w:rFonts w:cs="Arial"/>
          <w:b/>
        </w:rPr>
        <w:t>DESARROLLO</w:t>
      </w:r>
    </w:p>
    <w:p w:rsidR="00F76F21" w:rsidRPr="00EA0066" w:rsidRDefault="00366C33" w:rsidP="007929F6">
      <w:pPr>
        <w:pStyle w:val="Arial12"/>
        <w:spacing w:before="240" w:line="240" w:lineRule="auto"/>
        <w:ind w:left="426" w:right="-35" w:hanging="426"/>
        <w:rPr>
          <w:rFonts w:cs="Arial"/>
          <w:b/>
        </w:rPr>
      </w:pPr>
      <w:r w:rsidRPr="00EA0066">
        <w:rPr>
          <w:rFonts w:cs="Arial"/>
          <w:b/>
        </w:rPr>
        <w:t>DISEÑO METODOLÓGICO</w:t>
      </w:r>
    </w:p>
    <w:p w:rsidR="007E712C" w:rsidRPr="00EA0066" w:rsidRDefault="007E712C" w:rsidP="007929F6">
      <w:pPr>
        <w:spacing w:before="240"/>
        <w:jc w:val="both"/>
        <w:rPr>
          <w:rFonts w:ascii="Arial" w:hAnsi="Arial" w:cs="Arial"/>
        </w:rPr>
      </w:pPr>
      <w:r w:rsidRPr="00EA0066">
        <w:rPr>
          <w:rFonts w:ascii="Arial" w:hAnsi="Arial" w:cs="Arial"/>
        </w:rPr>
        <w:t>Se realizó un estudio observacional, descriptivo transversal en ancianos de la casa de abuelos de Santa Lucía, pertenecientes al Área de salud del policlínico “Mario Muñoz Monroy”, municipio Rafael Freyre, en el período comprendido de enero a marzo de 201</w:t>
      </w:r>
      <w:r w:rsidR="00F01DC9" w:rsidRPr="00EA0066">
        <w:rPr>
          <w:rFonts w:ascii="Arial" w:hAnsi="Arial" w:cs="Arial"/>
        </w:rPr>
        <w:t>8</w:t>
      </w:r>
      <w:r w:rsidRPr="00EA0066">
        <w:rPr>
          <w:rFonts w:ascii="Arial" w:hAnsi="Arial" w:cs="Arial"/>
        </w:rPr>
        <w:t xml:space="preserve"> con el propósito de describir el estado de su salud bucal.</w:t>
      </w:r>
    </w:p>
    <w:p w:rsidR="007E712C" w:rsidRPr="00EA0066" w:rsidRDefault="007E712C" w:rsidP="007929F6">
      <w:pPr>
        <w:spacing w:before="240"/>
        <w:jc w:val="both"/>
        <w:rPr>
          <w:rFonts w:ascii="Arial" w:hAnsi="Arial" w:cs="Arial"/>
        </w:rPr>
      </w:pPr>
      <w:r w:rsidRPr="00EA0066">
        <w:rPr>
          <w:rFonts w:ascii="Arial" w:hAnsi="Arial" w:cs="Arial"/>
        </w:rPr>
        <w:t xml:space="preserve">El universo de estudio estuvo constituido por 43 adultos mayores que forman la plantilla de dicha casa de abuelos y se tomó una muestra de </w:t>
      </w:r>
      <w:r w:rsidR="0036728F" w:rsidRPr="00EA0066">
        <w:rPr>
          <w:rFonts w:ascii="Arial" w:hAnsi="Arial" w:cs="Arial"/>
        </w:rPr>
        <w:t>40</w:t>
      </w:r>
      <w:r w:rsidRPr="00EA0066">
        <w:rPr>
          <w:rFonts w:ascii="Arial" w:hAnsi="Arial" w:cs="Arial"/>
        </w:rPr>
        <w:t xml:space="preserve"> a partir del criterio del consentimiento informado de</w:t>
      </w:r>
      <w:r w:rsidR="007F1A02" w:rsidRPr="00EA0066">
        <w:rPr>
          <w:rFonts w:ascii="Arial" w:hAnsi="Arial" w:cs="Arial"/>
        </w:rPr>
        <w:t xml:space="preserve"> participar en la investigación.</w:t>
      </w:r>
    </w:p>
    <w:p w:rsidR="007E712C" w:rsidRPr="00EA0066" w:rsidRDefault="00F01DC9" w:rsidP="007929F6">
      <w:pPr>
        <w:snapToGrid w:val="0"/>
        <w:spacing w:before="240"/>
        <w:jc w:val="both"/>
        <w:rPr>
          <w:rFonts w:ascii="Arial" w:hAnsi="Arial" w:cs="Arial"/>
        </w:rPr>
      </w:pPr>
      <w:r w:rsidRPr="00EA0066">
        <w:rPr>
          <w:rFonts w:ascii="Arial" w:hAnsi="Arial" w:cs="Arial"/>
        </w:rPr>
        <w:t>Se evaluaron las variables sexo, edad, uso de las prótesis, estado de dientes y necesidad de prótesis</w:t>
      </w:r>
      <w:r w:rsidR="003B6709" w:rsidRPr="00EA0066">
        <w:rPr>
          <w:rFonts w:ascii="Arial" w:hAnsi="Arial" w:cs="Arial"/>
        </w:rPr>
        <w:t xml:space="preserve">. </w:t>
      </w:r>
      <w:r w:rsidR="007F1A02" w:rsidRPr="00EA0066">
        <w:rPr>
          <w:rFonts w:ascii="Arial" w:hAnsi="Arial" w:cs="Arial"/>
        </w:rPr>
        <w:t>Para la obtención de la información se</w:t>
      </w:r>
      <w:r w:rsidR="007E712C" w:rsidRPr="00EA0066">
        <w:rPr>
          <w:rFonts w:ascii="Arial" w:hAnsi="Arial" w:cs="Arial"/>
        </w:rPr>
        <w:t xml:space="preserve"> realizó un</w:t>
      </w:r>
      <w:r w:rsidR="007F1A02" w:rsidRPr="00EA0066">
        <w:rPr>
          <w:rFonts w:ascii="Arial" w:hAnsi="Arial" w:cs="Arial"/>
        </w:rPr>
        <w:t xml:space="preserve"> interrogatorio y el examen oral de los pacientes en el </w:t>
      </w:r>
      <w:r w:rsidR="007E712C" w:rsidRPr="00EA0066">
        <w:rPr>
          <w:rFonts w:ascii="Arial" w:hAnsi="Arial" w:cs="Arial"/>
        </w:rPr>
        <w:t>sil</w:t>
      </w:r>
      <w:r w:rsidR="007F1A02" w:rsidRPr="00EA0066">
        <w:rPr>
          <w:rFonts w:ascii="Arial" w:hAnsi="Arial" w:cs="Arial"/>
        </w:rPr>
        <w:t>lón dental, utilizando</w:t>
      </w:r>
      <w:r w:rsidR="007E712C" w:rsidRPr="00EA0066">
        <w:rPr>
          <w:rFonts w:ascii="Arial" w:hAnsi="Arial" w:cs="Arial"/>
        </w:rPr>
        <w:t xml:space="preserve"> para ello </w:t>
      </w:r>
      <w:r w:rsidR="007F1A02" w:rsidRPr="00EA0066">
        <w:rPr>
          <w:rFonts w:ascii="Arial" w:hAnsi="Arial" w:cs="Arial"/>
        </w:rPr>
        <w:t xml:space="preserve">buena iluminación, </w:t>
      </w:r>
      <w:r w:rsidR="007E712C" w:rsidRPr="00EA0066">
        <w:rPr>
          <w:rFonts w:ascii="Arial" w:hAnsi="Arial" w:cs="Arial"/>
        </w:rPr>
        <w:t xml:space="preserve">espejo bucal y explorador.La información fue recogida </w:t>
      </w:r>
      <w:r w:rsidR="007F1A02" w:rsidRPr="00EA0066">
        <w:rPr>
          <w:rFonts w:ascii="Arial" w:hAnsi="Arial" w:cs="Arial"/>
        </w:rPr>
        <w:t xml:space="preserve">en </w:t>
      </w:r>
      <w:r w:rsidR="007E712C" w:rsidRPr="00EA0066">
        <w:rPr>
          <w:rFonts w:ascii="Arial" w:hAnsi="Arial" w:cs="Arial"/>
        </w:rPr>
        <w:t>la H</w:t>
      </w:r>
      <w:r w:rsidR="007F1A02" w:rsidRPr="00EA0066">
        <w:rPr>
          <w:rFonts w:ascii="Arial" w:hAnsi="Arial" w:cs="Arial"/>
        </w:rPr>
        <w:t xml:space="preserve">istoria </w:t>
      </w:r>
      <w:r w:rsidR="007E712C" w:rsidRPr="00EA0066">
        <w:rPr>
          <w:rFonts w:ascii="Arial" w:hAnsi="Arial" w:cs="Arial"/>
        </w:rPr>
        <w:t>C</w:t>
      </w:r>
      <w:r w:rsidR="007F1A02" w:rsidRPr="00EA0066">
        <w:rPr>
          <w:rFonts w:ascii="Arial" w:hAnsi="Arial" w:cs="Arial"/>
        </w:rPr>
        <w:t xml:space="preserve">línica individual del paciente. </w:t>
      </w:r>
    </w:p>
    <w:p w:rsidR="007F1A02" w:rsidRPr="00EA0066" w:rsidRDefault="007F1A02" w:rsidP="007929F6">
      <w:pPr>
        <w:pStyle w:val="Textoindependiente"/>
        <w:tabs>
          <w:tab w:val="num" w:pos="0"/>
        </w:tabs>
        <w:spacing w:before="240"/>
        <w:rPr>
          <w:rFonts w:ascii="Arial" w:hAnsi="Arial" w:cs="Arial"/>
          <w:lang w:val="es-ES"/>
        </w:rPr>
      </w:pPr>
      <w:r w:rsidRPr="00EA0066">
        <w:rPr>
          <w:rFonts w:ascii="Arial" w:hAnsi="Arial" w:cs="Arial"/>
          <w:lang w:val="es-ES"/>
        </w:rPr>
        <w:t>Los datos obtenidos fueron procesados utilizando Microsoft Word, Microsoft Excel y Microsoft Access. Se emplearon medidas de estadística descriptiva para el resumen de la información, las cuales fueron número y por ciento. Se plasmaron los resultados en tablas para su mejor análisis y comprensión.</w:t>
      </w:r>
    </w:p>
    <w:p w:rsidR="00366C33" w:rsidRPr="00EA0066" w:rsidRDefault="007F1A02" w:rsidP="007929F6">
      <w:pPr>
        <w:spacing w:before="240"/>
        <w:jc w:val="both"/>
        <w:rPr>
          <w:rFonts w:ascii="Arial" w:hAnsi="Arial" w:cs="Arial"/>
          <w:b/>
        </w:rPr>
      </w:pPr>
      <w:r w:rsidRPr="00EA0066">
        <w:rPr>
          <w:rFonts w:ascii="Arial" w:hAnsi="Arial" w:cs="Arial"/>
        </w:rPr>
        <w:t xml:space="preserve">Para preservar los principios éticos de la investigación y por tratarse de un estudio de acción directa sobre el ser humano con repercusiones psíquicas y sociales, se obedecieron debidamente los principios de no maleficencia, beneficencia, respeto a la autonomía del paciente y justicia. </w:t>
      </w:r>
    </w:p>
    <w:p w:rsidR="007F1A02" w:rsidRPr="00EA0066" w:rsidRDefault="00366C33" w:rsidP="007929F6">
      <w:pPr>
        <w:spacing w:before="240"/>
        <w:jc w:val="both"/>
        <w:rPr>
          <w:rFonts w:ascii="Arial" w:hAnsi="Arial" w:cs="Arial"/>
          <w:b/>
        </w:rPr>
      </w:pPr>
      <w:r w:rsidRPr="00EA0066">
        <w:rPr>
          <w:rFonts w:ascii="Arial" w:hAnsi="Arial" w:cs="Arial"/>
          <w:b/>
        </w:rPr>
        <w:t>RE</w:t>
      </w:r>
      <w:r w:rsidR="007F1A02" w:rsidRPr="00EA0066">
        <w:rPr>
          <w:rFonts w:ascii="Arial" w:hAnsi="Arial" w:cs="Arial"/>
          <w:b/>
        </w:rPr>
        <w:t>SULTADOS</w:t>
      </w:r>
      <w:r w:rsidRPr="00EA0066">
        <w:rPr>
          <w:rFonts w:ascii="Arial" w:hAnsi="Arial" w:cs="Arial"/>
          <w:b/>
        </w:rPr>
        <w:t xml:space="preserve"> Y DISCUSIÓN </w:t>
      </w:r>
    </w:p>
    <w:p w:rsidR="007F1A02" w:rsidRPr="00EA0066" w:rsidRDefault="007F1A02" w:rsidP="007929F6">
      <w:pPr>
        <w:spacing w:before="240"/>
        <w:jc w:val="both"/>
        <w:rPr>
          <w:rFonts w:ascii="Arial" w:hAnsi="Arial" w:cs="Arial"/>
          <w:bCs/>
          <w:color w:val="000000"/>
        </w:rPr>
      </w:pPr>
      <w:r w:rsidRPr="00EA0066">
        <w:rPr>
          <w:rFonts w:ascii="Arial" w:hAnsi="Arial" w:cs="Arial"/>
          <w:color w:val="000000"/>
        </w:rPr>
        <w:t xml:space="preserve">Tabla 1. Distribución de </w:t>
      </w:r>
      <w:r w:rsidR="0036728F" w:rsidRPr="00EA0066">
        <w:rPr>
          <w:rFonts w:ascii="Arial" w:hAnsi="Arial" w:cs="Arial"/>
          <w:color w:val="000000"/>
        </w:rPr>
        <w:t>ancianos de la casa de abuelos Santa Lucía,</w:t>
      </w:r>
      <w:r w:rsidRPr="00EA0066">
        <w:rPr>
          <w:rFonts w:ascii="Arial" w:hAnsi="Arial" w:cs="Arial"/>
          <w:color w:val="000000"/>
        </w:rPr>
        <w:t xml:space="preserve"> según grupo de edad y sexo. </w:t>
      </w:r>
      <w:bookmarkStart w:id="1" w:name="OLE_LINK3"/>
      <w:bookmarkStart w:id="2" w:name="OLE_LINK2"/>
      <w:bookmarkEnd w:id="1"/>
      <w:bookmarkEnd w:id="2"/>
      <w:r w:rsidR="00F01DC9" w:rsidRPr="00EA0066">
        <w:rPr>
          <w:rFonts w:ascii="Arial" w:hAnsi="Arial" w:cs="Arial"/>
          <w:color w:val="000000"/>
        </w:rPr>
        <w:t>Rafael Freyre, 2018</w:t>
      </w:r>
      <w:r w:rsidRPr="00EA0066">
        <w:rPr>
          <w:rFonts w:ascii="Arial" w:hAnsi="Arial" w:cs="Arial"/>
          <w:bCs/>
          <w:color w:val="000000"/>
        </w:rPr>
        <w:t> </w:t>
      </w:r>
    </w:p>
    <w:tbl>
      <w:tblPr>
        <w:tblStyle w:val="Tablaconcuadrcula"/>
        <w:tblW w:w="4820" w:type="pct"/>
        <w:tblBorders>
          <w:left w:val="none" w:sz="0" w:space="0" w:color="auto"/>
          <w:right w:val="none" w:sz="0" w:space="0" w:color="auto"/>
          <w:insideV w:val="none" w:sz="0" w:space="0" w:color="auto"/>
        </w:tblBorders>
        <w:tblLayout w:type="fixed"/>
        <w:tblLook w:val="04A0"/>
      </w:tblPr>
      <w:tblGrid>
        <w:gridCol w:w="1799"/>
        <w:gridCol w:w="1692"/>
        <w:gridCol w:w="846"/>
        <w:gridCol w:w="1693"/>
        <w:gridCol w:w="849"/>
        <w:gridCol w:w="1412"/>
        <w:gridCol w:w="983"/>
      </w:tblGrid>
      <w:tr w:rsidR="007929F6" w:rsidRPr="00EA0066" w:rsidTr="007929F6">
        <w:trPr>
          <w:trHeight w:val="645"/>
        </w:trPr>
        <w:tc>
          <w:tcPr>
            <w:tcW w:w="970" w:type="pct"/>
            <w:vMerge w:val="restart"/>
            <w:vAlign w:val="center"/>
            <w:hideMark/>
          </w:tcPr>
          <w:p w:rsidR="0036728F" w:rsidRPr="00EA0066" w:rsidRDefault="0036728F" w:rsidP="007929F6">
            <w:pPr>
              <w:jc w:val="center"/>
              <w:rPr>
                <w:rFonts w:ascii="Arial" w:hAnsi="Arial" w:cs="Arial"/>
                <w:bCs/>
                <w:color w:val="000000"/>
                <w:lang w:val="es-VE"/>
              </w:rPr>
            </w:pPr>
            <w:r w:rsidRPr="00EA0066">
              <w:rPr>
                <w:rFonts w:ascii="Arial" w:hAnsi="Arial" w:cs="Arial"/>
                <w:bCs/>
                <w:color w:val="000000"/>
              </w:rPr>
              <w:t>Grupo de edad</w:t>
            </w:r>
          </w:p>
        </w:tc>
        <w:tc>
          <w:tcPr>
            <w:tcW w:w="2739" w:type="pct"/>
            <w:gridSpan w:val="4"/>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Sexo</w:t>
            </w:r>
          </w:p>
        </w:tc>
        <w:tc>
          <w:tcPr>
            <w:tcW w:w="761" w:type="pct"/>
            <w:vMerge w:val="restar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Total de Pacientes</w:t>
            </w:r>
          </w:p>
        </w:tc>
        <w:tc>
          <w:tcPr>
            <w:tcW w:w="531" w:type="pct"/>
            <w:vMerge w:val="restar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w:t>
            </w:r>
          </w:p>
        </w:tc>
      </w:tr>
      <w:tr w:rsidR="007929F6" w:rsidRPr="00EA0066" w:rsidTr="007929F6">
        <w:trPr>
          <w:trHeight w:val="209"/>
        </w:trPr>
        <w:tc>
          <w:tcPr>
            <w:tcW w:w="970" w:type="pct"/>
            <w:vMerge/>
            <w:vAlign w:val="center"/>
            <w:hideMark/>
          </w:tcPr>
          <w:p w:rsidR="0036728F" w:rsidRPr="00EA0066" w:rsidRDefault="0036728F" w:rsidP="007929F6">
            <w:pPr>
              <w:jc w:val="center"/>
              <w:rPr>
                <w:rFonts w:ascii="Arial" w:hAnsi="Arial" w:cs="Arial"/>
                <w:bCs/>
                <w:color w:val="000000"/>
              </w:rPr>
            </w:pPr>
          </w:p>
        </w:tc>
        <w:tc>
          <w:tcPr>
            <w:tcW w:w="912"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F</w:t>
            </w:r>
            <w:r w:rsidR="0066162E" w:rsidRPr="00EA0066">
              <w:rPr>
                <w:rFonts w:ascii="Arial" w:hAnsi="Arial" w:cs="Arial"/>
                <w:bCs/>
                <w:color w:val="000000"/>
              </w:rPr>
              <w:t>emenino</w:t>
            </w:r>
          </w:p>
        </w:tc>
        <w:tc>
          <w:tcPr>
            <w:tcW w:w="456"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w:t>
            </w:r>
          </w:p>
        </w:tc>
        <w:tc>
          <w:tcPr>
            <w:tcW w:w="913"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M</w:t>
            </w:r>
            <w:r w:rsidR="0066162E" w:rsidRPr="00EA0066">
              <w:rPr>
                <w:rFonts w:ascii="Arial" w:hAnsi="Arial" w:cs="Arial"/>
                <w:bCs/>
                <w:color w:val="000000"/>
              </w:rPr>
              <w:t>asculino</w:t>
            </w:r>
          </w:p>
        </w:tc>
        <w:tc>
          <w:tcPr>
            <w:tcW w:w="457"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w:t>
            </w:r>
          </w:p>
        </w:tc>
        <w:tc>
          <w:tcPr>
            <w:tcW w:w="761" w:type="pct"/>
            <w:vMerge/>
            <w:vAlign w:val="center"/>
            <w:hideMark/>
          </w:tcPr>
          <w:p w:rsidR="0036728F" w:rsidRPr="00EA0066" w:rsidRDefault="0036728F" w:rsidP="007929F6">
            <w:pPr>
              <w:jc w:val="center"/>
              <w:rPr>
                <w:rFonts w:ascii="Arial" w:hAnsi="Arial" w:cs="Arial"/>
                <w:bCs/>
                <w:color w:val="000000"/>
              </w:rPr>
            </w:pPr>
          </w:p>
        </w:tc>
        <w:tc>
          <w:tcPr>
            <w:tcW w:w="531" w:type="pct"/>
            <w:vMerge/>
            <w:vAlign w:val="center"/>
            <w:hideMark/>
          </w:tcPr>
          <w:p w:rsidR="0036728F" w:rsidRPr="00EA0066" w:rsidRDefault="0036728F" w:rsidP="007929F6">
            <w:pPr>
              <w:jc w:val="center"/>
              <w:rPr>
                <w:rFonts w:ascii="Arial" w:hAnsi="Arial" w:cs="Arial"/>
                <w:bCs/>
                <w:color w:val="000000"/>
              </w:rPr>
            </w:pPr>
          </w:p>
        </w:tc>
      </w:tr>
      <w:tr w:rsidR="007929F6" w:rsidRPr="00EA0066" w:rsidTr="007929F6">
        <w:trPr>
          <w:trHeight w:val="269"/>
        </w:trPr>
        <w:tc>
          <w:tcPr>
            <w:tcW w:w="970"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60-74</w:t>
            </w:r>
          </w:p>
        </w:tc>
        <w:tc>
          <w:tcPr>
            <w:tcW w:w="912"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13</w:t>
            </w:r>
          </w:p>
        </w:tc>
        <w:tc>
          <w:tcPr>
            <w:tcW w:w="456"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76,5</w:t>
            </w:r>
          </w:p>
        </w:tc>
        <w:tc>
          <w:tcPr>
            <w:tcW w:w="913"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15</w:t>
            </w:r>
          </w:p>
        </w:tc>
        <w:tc>
          <w:tcPr>
            <w:tcW w:w="457"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65,2</w:t>
            </w:r>
          </w:p>
        </w:tc>
        <w:tc>
          <w:tcPr>
            <w:tcW w:w="761"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28</w:t>
            </w:r>
          </w:p>
        </w:tc>
        <w:tc>
          <w:tcPr>
            <w:tcW w:w="531"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70</w:t>
            </w:r>
          </w:p>
        </w:tc>
      </w:tr>
      <w:tr w:rsidR="007929F6" w:rsidRPr="00EA0066" w:rsidTr="007929F6">
        <w:trPr>
          <w:trHeight w:val="269"/>
        </w:trPr>
        <w:tc>
          <w:tcPr>
            <w:tcW w:w="970"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75-89</w:t>
            </w:r>
          </w:p>
        </w:tc>
        <w:tc>
          <w:tcPr>
            <w:tcW w:w="912"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4</w:t>
            </w:r>
          </w:p>
        </w:tc>
        <w:tc>
          <w:tcPr>
            <w:tcW w:w="456"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23,5</w:t>
            </w:r>
          </w:p>
        </w:tc>
        <w:tc>
          <w:tcPr>
            <w:tcW w:w="913"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7</w:t>
            </w:r>
          </w:p>
        </w:tc>
        <w:tc>
          <w:tcPr>
            <w:tcW w:w="457"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30,4</w:t>
            </w:r>
          </w:p>
        </w:tc>
        <w:tc>
          <w:tcPr>
            <w:tcW w:w="761"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11</w:t>
            </w:r>
          </w:p>
        </w:tc>
        <w:tc>
          <w:tcPr>
            <w:tcW w:w="531"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27,5</w:t>
            </w:r>
          </w:p>
        </w:tc>
      </w:tr>
      <w:tr w:rsidR="007929F6" w:rsidRPr="00EA0066" w:rsidTr="007929F6">
        <w:trPr>
          <w:trHeight w:val="269"/>
        </w:trPr>
        <w:tc>
          <w:tcPr>
            <w:tcW w:w="970"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lastRenderedPageBreak/>
              <w:t>90-99</w:t>
            </w:r>
          </w:p>
        </w:tc>
        <w:tc>
          <w:tcPr>
            <w:tcW w:w="912"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0</w:t>
            </w:r>
          </w:p>
        </w:tc>
        <w:tc>
          <w:tcPr>
            <w:tcW w:w="456"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0</w:t>
            </w:r>
          </w:p>
        </w:tc>
        <w:tc>
          <w:tcPr>
            <w:tcW w:w="913"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1</w:t>
            </w:r>
          </w:p>
        </w:tc>
        <w:tc>
          <w:tcPr>
            <w:tcW w:w="457"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4,3</w:t>
            </w:r>
          </w:p>
        </w:tc>
        <w:tc>
          <w:tcPr>
            <w:tcW w:w="761"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1</w:t>
            </w:r>
          </w:p>
        </w:tc>
        <w:tc>
          <w:tcPr>
            <w:tcW w:w="531"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2,5</w:t>
            </w:r>
          </w:p>
        </w:tc>
      </w:tr>
      <w:tr w:rsidR="007929F6" w:rsidRPr="00EA0066" w:rsidTr="007929F6">
        <w:trPr>
          <w:trHeight w:val="269"/>
        </w:trPr>
        <w:tc>
          <w:tcPr>
            <w:tcW w:w="970"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Total</w:t>
            </w:r>
          </w:p>
        </w:tc>
        <w:tc>
          <w:tcPr>
            <w:tcW w:w="912"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17</w:t>
            </w:r>
          </w:p>
        </w:tc>
        <w:tc>
          <w:tcPr>
            <w:tcW w:w="456"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42,5</w:t>
            </w:r>
          </w:p>
        </w:tc>
        <w:tc>
          <w:tcPr>
            <w:tcW w:w="913"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23</w:t>
            </w:r>
          </w:p>
        </w:tc>
        <w:tc>
          <w:tcPr>
            <w:tcW w:w="457"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57,5</w:t>
            </w:r>
          </w:p>
        </w:tc>
        <w:tc>
          <w:tcPr>
            <w:tcW w:w="761"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40</w:t>
            </w:r>
          </w:p>
        </w:tc>
        <w:tc>
          <w:tcPr>
            <w:tcW w:w="531" w:type="pct"/>
            <w:vAlign w:val="center"/>
            <w:hideMark/>
          </w:tcPr>
          <w:p w:rsidR="0036728F" w:rsidRPr="00EA0066" w:rsidRDefault="0036728F" w:rsidP="007929F6">
            <w:pPr>
              <w:jc w:val="center"/>
              <w:rPr>
                <w:rFonts w:ascii="Arial" w:hAnsi="Arial" w:cs="Arial"/>
                <w:bCs/>
                <w:color w:val="000000"/>
              </w:rPr>
            </w:pPr>
            <w:r w:rsidRPr="00EA0066">
              <w:rPr>
                <w:rFonts w:ascii="Arial" w:hAnsi="Arial" w:cs="Arial"/>
                <w:bCs/>
                <w:color w:val="000000"/>
              </w:rPr>
              <w:t>100</w:t>
            </w:r>
          </w:p>
        </w:tc>
      </w:tr>
    </w:tbl>
    <w:p w:rsidR="007F1A02" w:rsidRPr="00EA0066" w:rsidRDefault="007F1A02" w:rsidP="007929F6">
      <w:pPr>
        <w:spacing w:before="240"/>
        <w:jc w:val="both"/>
        <w:rPr>
          <w:rFonts w:ascii="Arial" w:hAnsi="Arial" w:cs="Arial"/>
        </w:rPr>
      </w:pPr>
      <w:r w:rsidRPr="00EA0066">
        <w:rPr>
          <w:rFonts w:ascii="Arial" w:hAnsi="Arial" w:cs="Arial"/>
          <w:color w:val="000000"/>
        </w:rPr>
        <w:t xml:space="preserve">La tabla 1 refleja la distribución </w:t>
      </w:r>
      <w:r w:rsidR="002F336C" w:rsidRPr="00EA0066">
        <w:rPr>
          <w:rFonts w:ascii="Arial" w:hAnsi="Arial" w:cs="Arial"/>
          <w:color w:val="000000"/>
        </w:rPr>
        <w:t>de ancianos según grupo de edad y sexo</w:t>
      </w:r>
      <w:r w:rsidRPr="00EA0066">
        <w:rPr>
          <w:rFonts w:ascii="Arial" w:hAnsi="Arial" w:cs="Arial"/>
          <w:color w:val="000000"/>
        </w:rPr>
        <w:t xml:space="preserve">, </w:t>
      </w:r>
      <w:r w:rsidR="002F336C" w:rsidRPr="00EA0066">
        <w:rPr>
          <w:rFonts w:ascii="Arial" w:hAnsi="Arial" w:cs="Arial"/>
          <w:color w:val="000000"/>
        </w:rPr>
        <w:t>se observa que del total de la muestra de 40 abuelos predominó el sexo masculino con 23 pacientes para el 57,5%. Por su parte las edades más representadas son las de 60 a 74 años con 28 individuos, para el 70%.</w:t>
      </w:r>
    </w:p>
    <w:p w:rsidR="007F1A02" w:rsidRPr="00EA0066" w:rsidRDefault="002F336C" w:rsidP="007929F6">
      <w:pPr>
        <w:spacing w:before="240"/>
        <w:jc w:val="both"/>
        <w:rPr>
          <w:rFonts w:ascii="Arial" w:hAnsi="Arial" w:cs="Arial"/>
        </w:rPr>
      </w:pPr>
      <w:r w:rsidRPr="00EA0066">
        <w:rPr>
          <w:rFonts w:ascii="Arial" w:hAnsi="Arial" w:cs="Arial"/>
        </w:rPr>
        <w:t xml:space="preserve">Los </w:t>
      </w:r>
      <w:r w:rsidR="007F1A02" w:rsidRPr="00EA0066">
        <w:rPr>
          <w:rFonts w:ascii="Arial" w:hAnsi="Arial" w:cs="Arial"/>
        </w:rPr>
        <w:t xml:space="preserve">resultados obtenidos </w:t>
      </w:r>
      <w:r w:rsidRPr="00EA0066">
        <w:rPr>
          <w:rFonts w:ascii="Arial" w:hAnsi="Arial" w:cs="Arial"/>
        </w:rPr>
        <w:t xml:space="preserve">son similares a los de la </w:t>
      </w:r>
      <w:r w:rsidR="007F1A02" w:rsidRPr="00EA0066">
        <w:rPr>
          <w:rFonts w:ascii="Arial" w:hAnsi="Arial" w:cs="Arial"/>
        </w:rPr>
        <w:t xml:space="preserve">investigación realizadapor </w:t>
      </w:r>
      <w:r w:rsidR="008D644B">
        <w:rPr>
          <w:rFonts w:ascii="Arial" w:hAnsi="Arial" w:cs="Arial"/>
        </w:rPr>
        <w:t>el</w:t>
      </w:r>
      <w:r w:rsidRPr="00EA0066">
        <w:rPr>
          <w:rFonts w:ascii="Arial" w:hAnsi="Arial" w:cs="Arial"/>
        </w:rPr>
        <w:t xml:space="preserve"> Dr</w:t>
      </w:r>
      <w:r w:rsidR="008D644B">
        <w:rPr>
          <w:rFonts w:ascii="Arial" w:hAnsi="Arial" w:cs="Arial"/>
        </w:rPr>
        <w:t>. Domínguez Santana</w:t>
      </w:r>
      <w:r w:rsidR="004834DC" w:rsidRPr="00EA0066">
        <w:rPr>
          <w:rFonts w:ascii="Arial" w:hAnsi="Arial" w:cs="Arial"/>
          <w:vertAlign w:val="superscript"/>
        </w:rPr>
        <w:t>4</w:t>
      </w:r>
      <w:r w:rsidRPr="00EA0066">
        <w:rPr>
          <w:rFonts w:ascii="Arial" w:hAnsi="Arial" w:cs="Arial"/>
        </w:rPr>
        <w:t xml:space="preserve">. </w:t>
      </w:r>
      <w:r w:rsidR="007F1A02" w:rsidRPr="00EA0066">
        <w:rPr>
          <w:rFonts w:ascii="Arial" w:hAnsi="Arial" w:cs="Arial"/>
        </w:rPr>
        <w:t xml:space="preserve">En estudios realizados en </w:t>
      </w:r>
      <w:r w:rsidRPr="00EA0066">
        <w:rPr>
          <w:rFonts w:ascii="Arial" w:hAnsi="Arial" w:cs="Arial"/>
        </w:rPr>
        <w:t xml:space="preserve">la provincia </w:t>
      </w:r>
      <w:r w:rsidR="007F1A02" w:rsidRPr="00EA0066">
        <w:rPr>
          <w:rFonts w:ascii="Arial" w:hAnsi="Arial" w:cs="Arial"/>
        </w:rPr>
        <w:t xml:space="preserve">Holguín por </w:t>
      </w:r>
      <w:r w:rsidR="008D644B">
        <w:rPr>
          <w:rFonts w:ascii="Arial" w:hAnsi="Arial" w:cs="Arial"/>
        </w:rPr>
        <w:t xml:space="preserve">la </w:t>
      </w:r>
      <w:r w:rsidR="007F1A02" w:rsidRPr="00EA0066">
        <w:rPr>
          <w:rFonts w:ascii="Arial" w:hAnsi="Arial" w:cs="Arial"/>
        </w:rPr>
        <w:t xml:space="preserve">Dra. </w:t>
      </w:r>
      <w:r w:rsidR="007F1A02" w:rsidRPr="00EA0066">
        <w:rPr>
          <w:rFonts w:ascii="Arial" w:hAnsi="Arial" w:cs="Arial"/>
          <w:lang w:val="es-ES_tradnl"/>
        </w:rPr>
        <w:t>Gutiérrez Segura</w:t>
      </w:r>
      <w:r w:rsidR="004834DC" w:rsidRPr="00EA0066">
        <w:rPr>
          <w:rFonts w:ascii="Arial" w:hAnsi="Arial" w:cs="Arial"/>
          <w:vertAlign w:val="superscript"/>
        </w:rPr>
        <w:t>3</w:t>
      </w:r>
      <w:r w:rsidRPr="00EA0066">
        <w:rPr>
          <w:rFonts w:ascii="Arial" w:hAnsi="Arial" w:cs="Arial"/>
        </w:rPr>
        <w:t>y la Dra. Barberán Díaz</w:t>
      </w:r>
      <w:r w:rsidR="004834DC" w:rsidRPr="00EA0066">
        <w:rPr>
          <w:rFonts w:ascii="Arial" w:hAnsi="Arial" w:cs="Arial"/>
          <w:vertAlign w:val="superscript"/>
        </w:rPr>
        <w:t>11</w:t>
      </w:r>
      <w:r w:rsidR="007F1A02" w:rsidRPr="00EA0066">
        <w:rPr>
          <w:rFonts w:ascii="Arial" w:hAnsi="Arial" w:cs="Arial"/>
        </w:rPr>
        <w:t>muestran el predomin</w:t>
      </w:r>
      <w:r w:rsidRPr="00EA0066">
        <w:rPr>
          <w:rFonts w:ascii="Arial" w:hAnsi="Arial" w:cs="Arial"/>
        </w:rPr>
        <w:t xml:space="preserve">io del sexo femenino con un </w:t>
      </w:r>
      <w:r w:rsidR="007F1A02" w:rsidRPr="00EA0066">
        <w:rPr>
          <w:rFonts w:ascii="Arial" w:hAnsi="Arial" w:cs="Arial"/>
        </w:rPr>
        <w:t>52,4%</w:t>
      </w:r>
      <w:r w:rsidRPr="00EA0066">
        <w:rPr>
          <w:rFonts w:ascii="Arial" w:hAnsi="Arial" w:cs="Arial"/>
        </w:rPr>
        <w:t xml:space="preserve"> y </w:t>
      </w:r>
      <w:r w:rsidRPr="00EA0066">
        <w:rPr>
          <w:rFonts w:ascii="Arial" w:hAnsi="Arial" w:cs="Arial"/>
          <w:lang w:val="es-ES_tradnl"/>
        </w:rPr>
        <w:t>57,5% respectivamente,</w:t>
      </w:r>
      <w:r w:rsidR="007F1A02" w:rsidRPr="00EA0066">
        <w:rPr>
          <w:rFonts w:ascii="Arial" w:hAnsi="Arial" w:cs="Arial"/>
        </w:rPr>
        <w:t xml:space="preserve">resultado </w:t>
      </w:r>
      <w:r w:rsidRPr="00EA0066">
        <w:rPr>
          <w:rFonts w:ascii="Arial" w:hAnsi="Arial" w:cs="Arial"/>
        </w:rPr>
        <w:t>opuesto</w:t>
      </w:r>
      <w:r w:rsidR="007F1A02" w:rsidRPr="00EA0066">
        <w:rPr>
          <w:rFonts w:ascii="Arial" w:hAnsi="Arial" w:cs="Arial"/>
        </w:rPr>
        <w:t xml:space="preserve"> al nuestro.</w:t>
      </w:r>
    </w:p>
    <w:p w:rsidR="007106A5" w:rsidRPr="00EA0066" w:rsidRDefault="007106A5" w:rsidP="007929F6">
      <w:pPr>
        <w:pStyle w:val="Ttulo2"/>
        <w:spacing w:before="240"/>
        <w:jc w:val="both"/>
        <w:rPr>
          <w:rFonts w:ascii="Arial" w:eastAsia="Times New Roman" w:hAnsi="Arial" w:cs="Arial"/>
          <w:color w:val="000000"/>
          <w:sz w:val="24"/>
          <w:szCs w:val="24"/>
        </w:rPr>
      </w:pPr>
      <w:r w:rsidRPr="00EA0066">
        <w:rPr>
          <w:rFonts w:ascii="Arial" w:hAnsi="Arial" w:cs="Arial"/>
          <w:b/>
          <w:color w:val="000000"/>
          <w:sz w:val="24"/>
          <w:szCs w:val="24"/>
        </w:rPr>
        <w:t>T</w:t>
      </w:r>
      <w:r w:rsidR="00E91E83" w:rsidRPr="00EA0066">
        <w:rPr>
          <w:rFonts w:ascii="Arial" w:hAnsi="Arial" w:cs="Arial"/>
          <w:b/>
          <w:color w:val="000000"/>
          <w:sz w:val="24"/>
          <w:szCs w:val="24"/>
        </w:rPr>
        <w:t>abla 2.</w:t>
      </w:r>
      <w:r w:rsidRPr="00EA0066">
        <w:rPr>
          <w:rFonts w:ascii="Arial" w:eastAsia="Times New Roman" w:hAnsi="Arial" w:cs="Arial"/>
          <w:color w:val="000000"/>
          <w:sz w:val="24"/>
          <w:szCs w:val="24"/>
        </w:rPr>
        <w:t>Distribución de la población examinada según necesidad de prótesis y sexo.</w:t>
      </w:r>
    </w:p>
    <w:tbl>
      <w:tblPr>
        <w:tblW w:w="4869" w:type="pct"/>
        <w:tblBorders>
          <w:top w:val="single" w:sz="4" w:space="0" w:color="auto"/>
          <w:bottom w:val="single" w:sz="4" w:space="0" w:color="auto"/>
          <w:insideH w:val="single" w:sz="4" w:space="0" w:color="auto"/>
        </w:tblBorders>
        <w:tblCellMar>
          <w:left w:w="70" w:type="dxa"/>
          <w:right w:w="70" w:type="dxa"/>
        </w:tblCellMar>
        <w:tblLook w:val="04A0"/>
      </w:tblPr>
      <w:tblGrid>
        <w:gridCol w:w="4105"/>
        <w:gridCol w:w="889"/>
        <w:gridCol w:w="1061"/>
        <w:gridCol w:w="840"/>
        <w:gridCol w:w="1006"/>
        <w:gridCol w:w="781"/>
        <w:gridCol w:w="612"/>
      </w:tblGrid>
      <w:tr w:rsidR="00366C33" w:rsidRPr="00EA0066" w:rsidTr="007929F6">
        <w:trPr>
          <w:trHeight w:val="449"/>
        </w:trPr>
        <w:tc>
          <w:tcPr>
            <w:tcW w:w="2209" w:type="pct"/>
            <w:vMerge w:val="restart"/>
            <w:shd w:val="clear" w:color="auto" w:fill="auto"/>
            <w:vAlign w:val="center"/>
            <w:hideMark/>
          </w:tcPr>
          <w:p w:rsidR="007106A5" w:rsidRPr="00EA0066" w:rsidRDefault="007106A5" w:rsidP="007929F6">
            <w:pPr>
              <w:jc w:val="center"/>
              <w:rPr>
                <w:rFonts w:ascii="Arial" w:hAnsi="Arial" w:cs="Arial"/>
                <w:bCs/>
                <w:color w:val="000000"/>
                <w:lang w:val="es-VE" w:eastAsia="es-VE"/>
              </w:rPr>
            </w:pPr>
            <w:r w:rsidRPr="00EA0066">
              <w:rPr>
                <w:rFonts w:ascii="Arial" w:hAnsi="Arial" w:cs="Arial"/>
                <w:bCs/>
                <w:color w:val="000000"/>
                <w:lang w:val="es-VE" w:eastAsia="es-VE"/>
              </w:rPr>
              <w:t>Necesidad de prótesis</w:t>
            </w:r>
          </w:p>
        </w:tc>
        <w:tc>
          <w:tcPr>
            <w:tcW w:w="2042" w:type="pct"/>
            <w:gridSpan w:val="4"/>
            <w:shd w:val="clear" w:color="auto" w:fill="auto"/>
            <w:vAlign w:val="center"/>
            <w:hideMark/>
          </w:tcPr>
          <w:p w:rsidR="007106A5" w:rsidRPr="00EA0066" w:rsidRDefault="007106A5" w:rsidP="007929F6">
            <w:pPr>
              <w:jc w:val="center"/>
              <w:rPr>
                <w:rFonts w:ascii="Arial" w:hAnsi="Arial" w:cs="Arial"/>
                <w:bCs/>
                <w:color w:val="000000"/>
                <w:lang w:val="es-VE" w:eastAsia="es-VE"/>
              </w:rPr>
            </w:pPr>
            <w:r w:rsidRPr="00EA0066">
              <w:rPr>
                <w:rFonts w:ascii="Arial" w:hAnsi="Arial" w:cs="Arial"/>
                <w:bCs/>
                <w:color w:val="000000"/>
                <w:lang w:val="es-VE" w:eastAsia="es-VE"/>
              </w:rPr>
              <w:t>Sexo</w:t>
            </w:r>
          </w:p>
        </w:tc>
        <w:tc>
          <w:tcPr>
            <w:tcW w:w="749" w:type="pct"/>
            <w:gridSpan w:val="2"/>
            <w:vMerge w:val="restart"/>
            <w:shd w:val="clear" w:color="auto" w:fill="auto"/>
            <w:vAlign w:val="center"/>
            <w:hideMark/>
          </w:tcPr>
          <w:p w:rsidR="007106A5" w:rsidRPr="00EA0066" w:rsidRDefault="007106A5" w:rsidP="007929F6">
            <w:pPr>
              <w:jc w:val="center"/>
              <w:rPr>
                <w:rFonts w:ascii="Arial" w:hAnsi="Arial" w:cs="Arial"/>
                <w:bCs/>
                <w:color w:val="000000"/>
                <w:lang w:val="es-VE" w:eastAsia="es-VE"/>
              </w:rPr>
            </w:pPr>
            <w:r w:rsidRPr="00EA0066">
              <w:rPr>
                <w:rFonts w:ascii="Arial" w:hAnsi="Arial" w:cs="Arial"/>
                <w:bCs/>
                <w:color w:val="000000"/>
                <w:lang w:val="es-VE" w:eastAsia="es-VE"/>
              </w:rPr>
              <w:t>Total</w:t>
            </w:r>
          </w:p>
        </w:tc>
      </w:tr>
      <w:tr w:rsidR="00366C33" w:rsidRPr="00EA0066" w:rsidTr="007929F6">
        <w:trPr>
          <w:trHeight w:val="314"/>
        </w:trPr>
        <w:tc>
          <w:tcPr>
            <w:tcW w:w="2209" w:type="pct"/>
            <w:vMerge/>
            <w:vAlign w:val="center"/>
            <w:hideMark/>
          </w:tcPr>
          <w:p w:rsidR="007106A5" w:rsidRPr="00EA0066" w:rsidRDefault="007106A5" w:rsidP="007929F6">
            <w:pPr>
              <w:jc w:val="center"/>
              <w:rPr>
                <w:rFonts w:ascii="Arial" w:hAnsi="Arial" w:cs="Arial"/>
                <w:bCs/>
                <w:color w:val="000000"/>
                <w:lang w:val="es-VE" w:eastAsia="es-VE"/>
              </w:rPr>
            </w:pPr>
          </w:p>
        </w:tc>
        <w:tc>
          <w:tcPr>
            <w:tcW w:w="1049" w:type="pct"/>
            <w:gridSpan w:val="2"/>
            <w:shd w:val="clear" w:color="auto" w:fill="auto"/>
            <w:vAlign w:val="center"/>
            <w:hideMark/>
          </w:tcPr>
          <w:p w:rsidR="007106A5" w:rsidRPr="00EA0066" w:rsidRDefault="007106A5" w:rsidP="007929F6">
            <w:pPr>
              <w:jc w:val="center"/>
              <w:rPr>
                <w:rFonts w:ascii="Arial" w:hAnsi="Arial" w:cs="Arial"/>
                <w:bCs/>
                <w:color w:val="000000"/>
                <w:lang w:val="es-VE" w:eastAsia="es-VE"/>
              </w:rPr>
            </w:pPr>
            <w:r w:rsidRPr="00EA0066">
              <w:rPr>
                <w:rFonts w:ascii="Arial" w:hAnsi="Arial" w:cs="Arial"/>
                <w:bCs/>
                <w:color w:val="000000"/>
                <w:lang w:val="es-VE" w:eastAsia="es-VE"/>
              </w:rPr>
              <w:t>Femenino</w:t>
            </w:r>
          </w:p>
        </w:tc>
        <w:tc>
          <w:tcPr>
            <w:tcW w:w="993" w:type="pct"/>
            <w:gridSpan w:val="2"/>
            <w:shd w:val="clear" w:color="auto" w:fill="auto"/>
            <w:vAlign w:val="center"/>
            <w:hideMark/>
          </w:tcPr>
          <w:p w:rsidR="007106A5" w:rsidRPr="00EA0066" w:rsidRDefault="007106A5" w:rsidP="007929F6">
            <w:pPr>
              <w:jc w:val="center"/>
              <w:rPr>
                <w:rFonts w:ascii="Arial" w:hAnsi="Arial" w:cs="Arial"/>
                <w:bCs/>
                <w:color w:val="000000"/>
                <w:lang w:val="es-VE" w:eastAsia="es-VE"/>
              </w:rPr>
            </w:pPr>
            <w:r w:rsidRPr="00EA0066">
              <w:rPr>
                <w:rFonts w:ascii="Arial" w:hAnsi="Arial" w:cs="Arial"/>
                <w:bCs/>
                <w:color w:val="000000"/>
                <w:lang w:val="es-VE" w:eastAsia="es-VE"/>
              </w:rPr>
              <w:t>Masculino</w:t>
            </w:r>
          </w:p>
        </w:tc>
        <w:tc>
          <w:tcPr>
            <w:tcW w:w="749" w:type="pct"/>
            <w:gridSpan w:val="2"/>
            <w:vMerge/>
            <w:vAlign w:val="center"/>
            <w:hideMark/>
          </w:tcPr>
          <w:p w:rsidR="007106A5" w:rsidRPr="00EA0066" w:rsidRDefault="007106A5" w:rsidP="007929F6">
            <w:pPr>
              <w:rPr>
                <w:rFonts w:ascii="Arial" w:hAnsi="Arial" w:cs="Arial"/>
                <w:bCs/>
                <w:color w:val="000000"/>
                <w:lang w:val="es-VE" w:eastAsia="es-VE"/>
              </w:rPr>
            </w:pPr>
          </w:p>
        </w:tc>
      </w:tr>
      <w:tr w:rsidR="00366C33" w:rsidRPr="00EA0066" w:rsidTr="007929F6">
        <w:trPr>
          <w:trHeight w:val="298"/>
        </w:trPr>
        <w:tc>
          <w:tcPr>
            <w:tcW w:w="2209" w:type="pct"/>
            <w:vMerge/>
            <w:vAlign w:val="center"/>
            <w:hideMark/>
          </w:tcPr>
          <w:p w:rsidR="007106A5" w:rsidRPr="00EA0066" w:rsidRDefault="007106A5" w:rsidP="007929F6">
            <w:pPr>
              <w:jc w:val="center"/>
              <w:rPr>
                <w:rFonts w:ascii="Arial" w:hAnsi="Arial" w:cs="Arial"/>
                <w:bCs/>
                <w:color w:val="000000"/>
                <w:lang w:val="es-VE" w:eastAsia="es-VE"/>
              </w:rPr>
            </w:pPr>
          </w:p>
        </w:tc>
        <w:tc>
          <w:tcPr>
            <w:tcW w:w="478" w:type="pct"/>
            <w:shd w:val="clear" w:color="auto" w:fill="auto"/>
            <w:vAlign w:val="center"/>
            <w:hideMark/>
          </w:tcPr>
          <w:p w:rsidR="007106A5" w:rsidRPr="00EA0066" w:rsidRDefault="007106A5" w:rsidP="007929F6">
            <w:pPr>
              <w:jc w:val="center"/>
              <w:rPr>
                <w:rFonts w:ascii="Arial" w:hAnsi="Arial" w:cs="Arial"/>
                <w:bCs/>
                <w:color w:val="000000"/>
                <w:lang w:val="es-VE" w:eastAsia="es-VE"/>
              </w:rPr>
            </w:pPr>
            <w:r w:rsidRPr="00EA0066">
              <w:rPr>
                <w:rFonts w:ascii="Arial" w:hAnsi="Arial" w:cs="Arial"/>
                <w:bCs/>
                <w:color w:val="000000"/>
                <w:lang w:val="es-VE" w:eastAsia="es-VE"/>
              </w:rPr>
              <w:t>No.</w:t>
            </w:r>
          </w:p>
        </w:tc>
        <w:tc>
          <w:tcPr>
            <w:tcW w:w="571" w:type="pct"/>
            <w:shd w:val="clear" w:color="auto" w:fill="auto"/>
            <w:vAlign w:val="center"/>
            <w:hideMark/>
          </w:tcPr>
          <w:p w:rsidR="007106A5" w:rsidRPr="00EA0066" w:rsidRDefault="007106A5" w:rsidP="007929F6">
            <w:pPr>
              <w:jc w:val="center"/>
              <w:rPr>
                <w:rFonts w:ascii="Arial" w:hAnsi="Arial" w:cs="Arial"/>
                <w:bCs/>
                <w:color w:val="000000"/>
                <w:lang w:val="es-VE" w:eastAsia="es-VE"/>
              </w:rPr>
            </w:pPr>
            <w:r w:rsidRPr="00EA0066">
              <w:rPr>
                <w:rFonts w:ascii="Arial" w:hAnsi="Arial" w:cs="Arial"/>
                <w:bCs/>
                <w:color w:val="000000"/>
                <w:lang w:val="es-VE" w:eastAsia="es-VE"/>
              </w:rPr>
              <w:t>%</w:t>
            </w:r>
          </w:p>
        </w:tc>
        <w:tc>
          <w:tcPr>
            <w:tcW w:w="452" w:type="pct"/>
            <w:shd w:val="clear" w:color="auto" w:fill="auto"/>
            <w:vAlign w:val="center"/>
            <w:hideMark/>
          </w:tcPr>
          <w:p w:rsidR="007106A5" w:rsidRPr="00EA0066" w:rsidRDefault="007106A5" w:rsidP="007929F6">
            <w:pPr>
              <w:jc w:val="center"/>
              <w:rPr>
                <w:rFonts w:ascii="Arial" w:hAnsi="Arial" w:cs="Arial"/>
                <w:bCs/>
                <w:color w:val="000000"/>
                <w:lang w:val="es-VE" w:eastAsia="es-VE"/>
              </w:rPr>
            </w:pPr>
            <w:r w:rsidRPr="00EA0066">
              <w:rPr>
                <w:rFonts w:ascii="Arial" w:hAnsi="Arial" w:cs="Arial"/>
                <w:bCs/>
                <w:color w:val="000000"/>
                <w:lang w:val="es-VE" w:eastAsia="es-VE"/>
              </w:rPr>
              <w:t>No.</w:t>
            </w:r>
          </w:p>
        </w:tc>
        <w:tc>
          <w:tcPr>
            <w:tcW w:w="540" w:type="pct"/>
            <w:shd w:val="clear" w:color="auto" w:fill="auto"/>
            <w:vAlign w:val="center"/>
            <w:hideMark/>
          </w:tcPr>
          <w:p w:rsidR="007106A5" w:rsidRPr="00EA0066" w:rsidRDefault="007106A5" w:rsidP="007929F6">
            <w:pPr>
              <w:jc w:val="center"/>
              <w:rPr>
                <w:rFonts w:ascii="Arial" w:hAnsi="Arial" w:cs="Arial"/>
                <w:bCs/>
                <w:color w:val="000000"/>
                <w:lang w:val="es-VE" w:eastAsia="es-VE"/>
              </w:rPr>
            </w:pPr>
            <w:r w:rsidRPr="00EA0066">
              <w:rPr>
                <w:rFonts w:ascii="Arial" w:hAnsi="Arial" w:cs="Arial"/>
                <w:bCs/>
                <w:color w:val="000000"/>
                <w:lang w:val="es-VE" w:eastAsia="es-VE"/>
              </w:rPr>
              <w:t>%</w:t>
            </w:r>
          </w:p>
        </w:tc>
        <w:tc>
          <w:tcPr>
            <w:tcW w:w="420" w:type="pct"/>
            <w:shd w:val="clear" w:color="auto" w:fill="auto"/>
            <w:vAlign w:val="center"/>
            <w:hideMark/>
          </w:tcPr>
          <w:p w:rsidR="007106A5" w:rsidRPr="00EA0066" w:rsidRDefault="007106A5" w:rsidP="007929F6">
            <w:pPr>
              <w:jc w:val="center"/>
              <w:rPr>
                <w:rFonts w:ascii="Arial" w:hAnsi="Arial" w:cs="Arial"/>
                <w:bCs/>
                <w:color w:val="000000"/>
                <w:lang w:val="es-VE" w:eastAsia="es-VE"/>
              </w:rPr>
            </w:pPr>
            <w:r w:rsidRPr="00EA0066">
              <w:rPr>
                <w:rFonts w:ascii="Arial" w:hAnsi="Arial" w:cs="Arial"/>
                <w:bCs/>
                <w:color w:val="000000"/>
                <w:lang w:val="es-VE" w:eastAsia="es-VE"/>
              </w:rPr>
              <w:t>No.</w:t>
            </w:r>
          </w:p>
        </w:tc>
        <w:tc>
          <w:tcPr>
            <w:tcW w:w="328" w:type="pct"/>
            <w:shd w:val="clear" w:color="auto" w:fill="auto"/>
            <w:vAlign w:val="center"/>
            <w:hideMark/>
          </w:tcPr>
          <w:p w:rsidR="007106A5" w:rsidRPr="00EA0066" w:rsidRDefault="007106A5" w:rsidP="007929F6">
            <w:pPr>
              <w:jc w:val="center"/>
              <w:rPr>
                <w:rFonts w:ascii="Arial" w:hAnsi="Arial" w:cs="Arial"/>
                <w:bCs/>
                <w:color w:val="000000"/>
                <w:lang w:val="es-VE" w:eastAsia="es-VE"/>
              </w:rPr>
            </w:pPr>
            <w:r w:rsidRPr="00EA0066">
              <w:rPr>
                <w:rFonts w:ascii="Arial" w:hAnsi="Arial" w:cs="Arial"/>
                <w:bCs/>
                <w:color w:val="000000"/>
                <w:lang w:val="es-VE" w:eastAsia="es-VE"/>
              </w:rPr>
              <w:t>%</w:t>
            </w:r>
          </w:p>
        </w:tc>
      </w:tr>
      <w:tr w:rsidR="00366C33" w:rsidRPr="00EA0066" w:rsidTr="007929F6">
        <w:trPr>
          <w:trHeight w:val="430"/>
        </w:trPr>
        <w:tc>
          <w:tcPr>
            <w:tcW w:w="2209" w:type="pct"/>
            <w:shd w:val="clear" w:color="auto" w:fill="auto"/>
            <w:vAlign w:val="center"/>
            <w:hideMark/>
          </w:tcPr>
          <w:p w:rsidR="009523DA" w:rsidRPr="00EA0066" w:rsidRDefault="009523DA" w:rsidP="007929F6">
            <w:pPr>
              <w:jc w:val="center"/>
              <w:rPr>
                <w:rFonts w:ascii="Arial" w:hAnsi="Arial" w:cs="Arial"/>
                <w:color w:val="000000"/>
                <w:lang w:val="es-VE" w:eastAsia="es-VE"/>
              </w:rPr>
            </w:pPr>
            <w:r w:rsidRPr="00EA0066">
              <w:rPr>
                <w:rFonts w:ascii="Arial" w:hAnsi="Arial" w:cs="Arial"/>
                <w:bCs/>
                <w:color w:val="000000"/>
                <w:lang w:val="es-VE" w:eastAsia="es-VE"/>
              </w:rPr>
              <w:t>Pacientes sin necesidad de prótesis</w:t>
            </w:r>
          </w:p>
        </w:tc>
        <w:tc>
          <w:tcPr>
            <w:tcW w:w="478" w:type="pct"/>
            <w:shd w:val="clear" w:color="auto" w:fill="auto"/>
            <w:vAlign w:val="center"/>
            <w:hideMark/>
          </w:tcPr>
          <w:p w:rsidR="009523DA" w:rsidRPr="00EA0066" w:rsidRDefault="009523DA" w:rsidP="007929F6">
            <w:pPr>
              <w:suppressAutoHyphens w:val="0"/>
              <w:jc w:val="center"/>
              <w:rPr>
                <w:rFonts w:ascii="Arial" w:hAnsi="Arial" w:cs="Arial"/>
                <w:color w:val="000000"/>
                <w:lang w:val="es-VE" w:eastAsia="es-VE"/>
              </w:rPr>
            </w:pPr>
            <w:r w:rsidRPr="00EA0066">
              <w:rPr>
                <w:rFonts w:ascii="Arial" w:hAnsi="Arial" w:cs="Arial"/>
                <w:color w:val="000000"/>
              </w:rPr>
              <w:t>13</w:t>
            </w:r>
          </w:p>
        </w:tc>
        <w:tc>
          <w:tcPr>
            <w:tcW w:w="571" w:type="pct"/>
            <w:shd w:val="clear" w:color="auto" w:fill="auto"/>
            <w:vAlign w:val="center"/>
            <w:hideMark/>
          </w:tcPr>
          <w:p w:rsidR="009523DA" w:rsidRPr="00EA0066" w:rsidRDefault="009523DA" w:rsidP="007929F6">
            <w:pPr>
              <w:jc w:val="center"/>
              <w:rPr>
                <w:rFonts w:ascii="Arial" w:hAnsi="Arial" w:cs="Arial"/>
                <w:color w:val="000000"/>
              </w:rPr>
            </w:pPr>
            <w:r w:rsidRPr="00EA0066">
              <w:rPr>
                <w:rFonts w:ascii="Arial" w:hAnsi="Arial" w:cs="Arial"/>
                <w:color w:val="000000"/>
              </w:rPr>
              <w:t>76,5</w:t>
            </w:r>
          </w:p>
        </w:tc>
        <w:tc>
          <w:tcPr>
            <w:tcW w:w="452" w:type="pct"/>
            <w:shd w:val="clear" w:color="auto" w:fill="auto"/>
            <w:vAlign w:val="center"/>
            <w:hideMark/>
          </w:tcPr>
          <w:p w:rsidR="009523DA" w:rsidRPr="00EA0066" w:rsidRDefault="009523DA" w:rsidP="007929F6">
            <w:pPr>
              <w:jc w:val="center"/>
              <w:rPr>
                <w:rFonts w:ascii="Arial" w:hAnsi="Arial" w:cs="Arial"/>
                <w:color w:val="000000"/>
              </w:rPr>
            </w:pPr>
            <w:r w:rsidRPr="00EA0066">
              <w:rPr>
                <w:rFonts w:ascii="Arial" w:hAnsi="Arial" w:cs="Arial"/>
                <w:color w:val="000000"/>
              </w:rPr>
              <w:t>18</w:t>
            </w:r>
          </w:p>
        </w:tc>
        <w:tc>
          <w:tcPr>
            <w:tcW w:w="540" w:type="pct"/>
            <w:shd w:val="clear" w:color="auto" w:fill="auto"/>
            <w:vAlign w:val="center"/>
            <w:hideMark/>
          </w:tcPr>
          <w:p w:rsidR="009523DA" w:rsidRPr="00EA0066" w:rsidRDefault="009523DA" w:rsidP="007929F6">
            <w:pPr>
              <w:jc w:val="center"/>
              <w:rPr>
                <w:rFonts w:ascii="Arial" w:hAnsi="Arial" w:cs="Arial"/>
                <w:color w:val="000000"/>
              </w:rPr>
            </w:pPr>
            <w:r w:rsidRPr="00EA0066">
              <w:rPr>
                <w:rFonts w:ascii="Arial" w:hAnsi="Arial" w:cs="Arial"/>
                <w:color w:val="000000"/>
              </w:rPr>
              <w:t>78,3</w:t>
            </w:r>
          </w:p>
        </w:tc>
        <w:tc>
          <w:tcPr>
            <w:tcW w:w="420" w:type="pct"/>
            <w:shd w:val="clear" w:color="auto" w:fill="auto"/>
            <w:vAlign w:val="center"/>
            <w:hideMark/>
          </w:tcPr>
          <w:p w:rsidR="009523DA" w:rsidRPr="00EA0066" w:rsidRDefault="009523DA" w:rsidP="007929F6">
            <w:pPr>
              <w:jc w:val="center"/>
              <w:rPr>
                <w:rFonts w:ascii="Arial" w:hAnsi="Arial" w:cs="Arial"/>
                <w:color w:val="000000"/>
              </w:rPr>
            </w:pPr>
            <w:r w:rsidRPr="00EA0066">
              <w:rPr>
                <w:rFonts w:ascii="Arial" w:hAnsi="Arial" w:cs="Arial"/>
                <w:color w:val="000000"/>
              </w:rPr>
              <w:t>31</w:t>
            </w:r>
          </w:p>
        </w:tc>
        <w:tc>
          <w:tcPr>
            <w:tcW w:w="328" w:type="pct"/>
            <w:shd w:val="clear" w:color="auto" w:fill="auto"/>
            <w:vAlign w:val="center"/>
            <w:hideMark/>
          </w:tcPr>
          <w:p w:rsidR="009523DA" w:rsidRPr="00EA0066" w:rsidRDefault="009523DA" w:rsidP="007929F6">
            <w:pPr>
              <w:jc w:val="center"/>
              <w:rPr>
                <w:rFonts w:ascii="Arial" w:hAnsi="Arial" w:cs="Arial"/>
                <w:color w:val="000000"/>
              </w:rPr>
            </w:pPr>
            <w:r w:rsidRPr="00EA0066">
              <w:rPr>
                <w:rFonts w:ascii="Arial" w:hAnsi="Arial" w:cs="Arial"/>
                <w:color w:val="000000"/>
              </w:rPr>
              <w:t>77,5</w:t>
            </w:r>
          </w:p>
        </w:tc>
      </w:tr>
      <w:tr w:rsidR="00366C33" w:rsidRPr="00EA0066" w:rsidTr="007929F6">
        <w:trPr>
          <w:trHeight w:val="430"/>
        </w:trPr>
        <w:tc>
          <w:tcPr>
            <w:tcW w:w="2209" w:type="pct"/>
            <w:shd w:val="clear" w:color="auto" w:fill="auto"/>
            <w:vAlign w:val="center"/>
            <w:hideMark/>
          </w:tcPr>
          <w:p w:rsidR="009523DA" w:rsidRPr="00EA0066" w:rsidRDefault="009523DA" w:rsidP="007929F6">
            <w:pPr>
              <w:jc w:val="center"/>
              <w:rPr>
                <w:rFonts w:ascii="Arial" w:hAnsi="Arial" w:cs="Arial"/>
                <w:color w:val="000000"/>
                <w:lang w:val="es-VE" w:eastAsia="es-VE"/>
              </w:rPr>
            </w:pPr>
            <w:r w:rsidRPr="00EA0066">
              <w:rPr>
                <w:rFonts w:ascii="Arial" w:hAnsi="Arial" w:cs="Arial"/>
                <w:bCs/>
                <w:color w:val="000000"/>
                <w:lang w:val="es-VE" w:eastAsia="es-VE"/>
              </w:rPr>
              <w:t>Pacientes con necesidad de prótesis</w:t>
            </w:r>
          </w:p>
        </w:tc>
        <w:tc>
          <w:tcPr>
            <w:tcW w:w="478" w:type="pct"/>
            <w:shd w:val="clear" w:color="auto" w:fill="auto"/>
            <w:vAlign w:val="center"/>
            <w:hideMark/>
          </w:tcPr>
          <w:p w:rsidR="009523DA" w:rsidRPr="00EA0066" w:rsidRDefault="009523DA" w:rsidP="007929F6">
            <w:pPr>
              <w:jc w:val="center"/>
              <w:rPr>
                <w:rFonts w:ascii="Arial" w:hAnsi="Arial" w:cs="Arial"/>
                <w:color w:val="000000"/>
              </w:rPr>
            </w:pPr>
            <w:r w:rsidRPr="00EA0066">
              <w:rPr>
                <w:rFonts w:ascii="Arial" w:hAnsi="Arial" w:cs="Arial"/>
                <w:color w:val="000000"/>
              </w:rPr>
              <w:t>4</w:t>
            </w:r>
          </w:p>
        </w:tc>
        <w:tc>
          <w:tcPr>
            <w:tcW w:w="571" w:type="pct"/>
            <w:shd w:val="clear" w:color="auto" w:fill="auto"/>
            <w:vAlign w:val="center"/>
            <w:hideMark/>
          </w:tcPr>
          <w:p w:rsidR="009523DA" w:rsidRPr="00EA0066" w:rsidRDefault="009523DA" w:rsidP="007929F6">
            <w:pPr>
              <w:jc w:val="center"/>
              <w:rPr>
                <w:rFonts w:ascii="Arial" w:hAnsi="Arial" w:cs="Arial"/>
                <w:color w:val="000000"/>
              </w:rPr>
            </w:pPr>
            <w:r w:rsidRPr="00EA0066">
              <w:rPr>
                <w:rFonts w:ascii="Arial" w:hAnsi="Arial" w:cs="Arial"/>
                <w:color w:val="000000"/>
              </w:rPr>
              <w:t>23,5</w:t>
            </w:r>
          </w:p>
        </w:tc>
        <w:tc>
          <w:tcPr>
            <w:tcW w:w="452" w:type="pct"/>
            <w:shd w:val="clear" w:color="auto" w:fill="auto"/>
            <w:vAlign w:val="center"/>
            <w:hideMark/>
          </w:tcPr>
          <w:p w:rsidR="009523DA" w:rsidRPr="00EA0066" w:rsidRDefault="009523DA" w:rsidP="007929F6">
            <w:pPr>
              <w:jc w:val="center"/>
              <w:rPr>
                <w:rFonts w:ascii="Arial" w:hAnsi="Arial" w:cs="Arial"/>
                <w:color w:val="000000"/>
              </w:rPr>
            </w:pPr>
            <w:r w:rsidRPr="00EA0066">
              <w:rPr>
                <w:rFonts w:ascii="Arial" w:hAnsi="Arial" w:cs="Arial"/>
                <w:color w:val="000000"/>
              </w:rPr>
              <w:t>5</w:t>
            </w:r>
          </w:p>
        </w:tc>
        <w:tc>
          <w:tcPr>
            <w:tcW w:w="540" w:type="pct"/>
            <w:shd w:val="clear" w:color="auto" w:fill="auto"/>
            <w:vAlign w:val="center"/>
            <w:hideMark/>
          </w:tcPr>
          <w:p w:rsidR="009523DA" w:rsidRPr="00EA0066" w:rsidRDefault="009523DA" w:rsidP="007929F6">
            <w:pPr>
              <w:jc w:val="center"/>
              <w:rPr>
                <w:rFonts w:ascii="Arial" w:hAnsi="Arial" w:cs="Arial"/>
                <w:color w:val="000000"/>
              </w:rPr>
            </w:pPr>
            <w:r w:rsidRPr="00EA0066">
              <w:rPr>
                <w:rFonts w:ascii="Arial" w:hAnsi="Arial" w:cs="Arial"/>
                <w:color w:val="000000"/>
              </w:rPr>
              <w:t>21,7</w:t>
            </w:r>
          </w:p>
        </w:tc>
        <w:tc>
          <w:tcPr>
            <w:tcW w:w="420" w:type="pct"/>
            <w:shd w:val="clear" w:color="auto" w:fill="auto"/>
            <w:vAlign w:val="center"/>
            <w:hideMark/>
          </w:tcPr>
          <w:p w:rsidR="009523DA" w:rsidRPr="00EA0066" w:rsidRDefault="009523DA" w:rsidP="007929F6">
            <w:pPr>
              <w:jc w:val="center"/>
              <w:rPr>
                <w:rFonts w:ascii="Arial" w:hAnsi="Arial" w:cs="Arial"/>
                <w:color w:val="000000"/>
              </w:rPr>
            </w:pPr>
            <w:r w:rsidRPr="00EA0066">
              <w:rPr>
                <w:rFonts w:ascii="Arial" w:hAnsi="Arial" w:cs="Arial"/>
                <w:color w:val="000000"/>
              </w:rPr>
              <w:t>9</w:t>
            </w:r>
          </w:p>
        </w:tc>
        <w:tc>
          <w:tcPr>
            <w:tcW w:w="328" w:type="pct"/>
            <w:shd w:val="clear" w:color="auto" w:fill="auto"/>
            <w:vAlign w:val="center"/>
            <w:hideMark/>
          </w:tcPr>
          <w:p w:rsidR="009523DA" w:rsidRPr="00EA0066" w:rsidRDefault="009523DA" w:rsidP="007929F6">
            <w:pPr>
              <w:jc w:val="center"/>
              <w:rPr>
                <w:rFonts w:ascii="Arial" w:hAnsi="Arial" w:cs="Arial"/>
                <w:color w:val="000000"/>
              </w:rPr>
            </w:pPr>
            <w:r w:rsidRPr="00EA0066">
              <w:rPr>
                <w:rFonts w:ascii="Arial" w:hAnsi="Arial" w:cs="Arial"/>
                <w:color w:val="000000"/>
              </w:rPr>
              <w:t>22,5</w:t>
            </w:r>
          </w:p>
        </w:tc>
      </w:tr>
      <w:tr w:rsidR="00366C33" w:rsidRPr="00EA0066" w:rsidTr="007929F6">
        <w:trPr>
          <w:trHeight w:val="453"/>
        </w:trPr>
        <w:tc>
          <w:tcPr>
            <w:tcW w:w="2209" w:type="pct"/>
            <w:shd w:val="clear" w:color="auto" w:fill="auto"/>
            <w:vAlign w:val="center"/>
            <w:hideMark/>
          </w:tcPr>
          <w:p w:rsidR="009523DA" w:rsidRPr="00EA0066" w:rsidRDefault="009523DA" w:rsidP="007929F6">
            <w:pPr>
              <w:jc w:val="center"/>
              <w:rPr>
                <w:rFonts w:ascii="Arial" w:hAnsi="Arial" w:cs="Arial"/>
                <w:bCs/>
                <w:color w:val="000000"/>
                <w:lang w:val="es-VE" w:eastAsia="es-VE"/>
              </w:rPr>
            </w:pPr>
            <w:r w:rsidRPr="00EA0066">
              <w:rPr>
                <w:rFonts w:ascii="Arial" w:hAnsi="Arial" w:cs="Arial"/>
                <w:bCs/>
                <w:color w:val="000000"/>
                <w:lang w:val="es-VE" w:eastAsia="es-VE"/>
              </w:rPr>
              <w:t>Total</w:t>
            </w:r>
          </w:p>
        </w:tc>
        <w:tc>
          <w:tcPr>
            <w:tcW w:w="478" w:type="pct"/>
            <w:shd w:val="clear" w:color="auto" w:fill="auto"/>
            <w:vAlign w:val="center"/>
            <w:hideMark/>
          </w:tcPr>
          <w:p w:rsidR="009523DA" w:rsidRPr="00EA0066" w:rsidRDefault="009523DA" w:rsidP="007929F6">
            <w:pPr>
              <w:jc w:val="center"/>
              <w:rPr>
                <w:rFonts w:ascii="Arial" w:hAnsi="Arial" w:cs="Arial"/>
                <w:color w:val="000000"/>
              </w:rPr>
            </w:pPr>
            <w:r w:rsidRPr="00EA0066">
              <w:rPr>
                <w:rFonts w:ascii="Arial" w:hAnsi="Arial" w:cs="Arial"/>
                <w:color w:val="000000"/>
              </w:rPr>
              <w:t>17</w:t>
            </w:r>
          </w:p>
        </w:tc>
        <w:tc>
          <w:tcPr>
            <w:tcW w:w="571" w:type="pct"/>
            <w:shd w:val="clear" w:color="auto" w:fill="auto"/>
            <w:vAlign w:val="center"/>
            <w:hideMark/>
          </w:tcPr>
          <w:p w:rsidR="009523DA" w:rsidRPr="00EA0066" w:rsidRDefault="009523DA" w:rsidP="007929F6">
            <w:pPr>
              <w:jc w:val="center"/>
              <w:rPr>
                <w:rFonts w:ascii="Arial" w:hAnsi="Arial" w:cs="Arial"/>
                <w:color w:val="000000"/>
              </w:rPr>
            </w:pPr>
            <w:r w:rsidRPr="00EA0066">
              <w:rPr>
                <w:rFonts w:ascii="Arial" w:hAnsi="Arial" w:cs="Arial"/>
                <w:color w:val="000000"/>
              </w:rPr>
              <w:t>42,5</w:t>
            </w:r>
          </w:p>
        </w:tc>
        <w:tc>
          <w:tcPr>
            <w:tcW w:w="452" w:type="pct"/>
            <w:shd w:val="clear" w:color="auto" w:fill="auto"/>
            <w:vAlign w:val="center"/>
            <w:hideMark/>
          </w:tcPr>
          <w:p w:rsidR="009523DA" w:rsidRPr="00EA0066" w:rsidRDefault="009523DA" w:rsidP="007929F6">
            <w:pPr>
              <w:jc w:val="center"/>
              <w:rPr>
                <w:rFonts w:ascii="Arial" w:hAnsi="Arial" w:cs="Arial"/>
                <w:color w:val="000000"/>
              </w:rPr>
            </w:pPr>
            <w:r w:rsidRPr="00EA0066">
              <w:rPr>
                <w:rFonts w:ascii="Arial" w:hAnsi="Arial" w:cs="Arial"/>
                <w:color w:val="000000"/>
              </w:rPr>
              <w:t>23</w:t>
            </w:r>
          </w:p>
        </w:tc>
        <w:tc>
          <w:tcPr>
            <w:tcW w:w="540" w:type="pct"/>
            <w:shd w:val="clear" w:color="auto" w:fill="auto"/>
            <w:vAlign w:val="center"/>
            <w:hideMark/>
          </w:tcPr>
          <w:p w:rsidR="009523DA" w:rsidRPr="00EA0066" w:rsidRDefault="009523DA" w:rsidP="007929F6">
            <w:pPr>
              <w:jc w:val="center"/>
              <w:rPr>
                <w:rFonts w:ascii="Arial" w:hAnsi="Arial" w:cs="Arial"/>
                <w:color w:val="000000"/>
              </w:rPr>
            </w:pPr>
            <w:r w:rsidRPr="00EA0066">
              <w:rPr>
                <w:rFonts w:ascii="Arial" w:hAnsi="Arial" w:cs="Arial"/>
                <w:color w:val="000000"/>
              </w:rPr>
              <w:t>57,5</w:t>
            </w:r>
          </w:p>
        </w:tc>
        <w:tc>
          <w:tcPr>
            <w:tcW w:w="420" w:type="pct"/>
            <w:shd w:val="clear" w:color="auto" w:fill="auto"/>
            <w:vAlign w:val="center"/>
            <w:hideMark/>
          </w:tcPr>
          <w:p w:rsidR="009523DA" w:rsidRPr="00EA0066" w:rsidRDefault="009523DA" w:rsidP="007929F6">
            <w:pPr>
              <w:jc w:val="center"/>
              <w:rPr>
                <w:rFonts w:ascii="Arial" w:hAnsi="Arial" w:cs="Arial"/>
                <w:color w:val="000000"/>
              </w:rPr>
            </w:pPr>
            <w:r w:rsidRPr="00EA0066">
              <w:rPr>
                <w:rFonts w:ascii="Arial" w:hAnsi="Arial" w:cs="Arial"/>
                <w:color w:val="000000"/>
              </w:rPr>
              <w:t>40</w:t>
            </w:r>
          </w:p>
        </w:tc>
        <w:tc>
          <w:tcPr>
            <w:tcW w:w="328" w:type="pct"/>
            <w:shd w:val="clear" w:color="auto" w:fill="auto"/>
            <w:vAlign w:val="center"/>
            <w:hideMark/>
          </w:tcPr>
          <w:p w:rsidR="009523DA" w:rsidRPr="00EA0066" w:rsidRDefault="009523DA" w:rsidP="007929F6">
            <w:pPr>
              <w:jc w:val="center"/>
              <w:rPr>
                <w:rFonts w:ascii="Arial" w:hAnsi="Arial" w:cs="Arial"/>
                <w:color w:val="000000"/>
              </w:rPr>
            </w:pPr>
            <w:r w:rsidRPr="00EA0066">
              <w:rPr>
                <w:rFonts w:ascii="Arial" w:hAnsi="Arial" w:cs="Arial"/>
                <w:color w:val="000000"/>
              </w:rPr>
              <w:t>100</w:t>
            </w:r>
          </w:p>
        </w:tc>
      </w:tr>
    </w:tbl>
    <w:p w:rsidR="007106A5" w:rsidRPr="00EA0066" w:rsidRDefault="00D91174" w:rsidP="007929F6">
      <w:pPr>
        <w:spacing w:before="240"/>
        <w:jc w:val="both"/>
        <w:rPr>
          <w:rFonts w:ascii="Arial" w:hAnsi="Arial" w:cs="Arial"/>
          <w:color w:val="000000"/>
        </w:rPr>
      </w:pPr>
      <w:r w:rsidRPr="00EA0066">
        <w:rPr>
          <w:rFonts w:ascii="Arial" w:hAnsi="Arial" w:cs="Arial"/>
          <w:color w:val="000000"/>
        </w:rPr>
        <w:t>La tabla 2 muestra la necesidad de prótesis de los ancianos</w:t>
      </w:r>
      <w:r w:rsidR="00943B4B" w:rsidRPr="00EA0066">
        <w:rPr>
          <w:rFonts w:ascii="Arial" w:hAnsi="Arial" w:cs="Arial"/>
          <w:color w:val="000000"/>
        </w:rPr>
        <w:t xml:space="preserve">, apreciándose que 31, de los 40 examinados no necesitan prótesis, para un 77,5%. Este resultado evidencia el constante trabajo del equipo de salud para garantizar la rehabilitación protésica de este grupo priorizado. </w:t>
      </w:r>
    </w:p>
    <w:p w:rsidR="00943B4B" w:rsidRPr="00EA0066" w:rsidRDefault="00943B4B" w:rsidP="007929F6">
      <w:pPr>
        <w:spacing w:before="240"/>
        <w:jc w:val="both"/>
        <w:rPr>
          <w:rFonts w:ascii="Arial" w:hAnsi="Arial" w:cs="Arial"/>
        </w:rPr>
      </w:pPr>
      <w:r w:rsidRPr="00EA0066">
        <w:rPr>
          <w:rFonts w:ascii="Arial" w:hAnsi="Arial" w:cs="Arial"/>
        </w:rPr>
        <w:t>Las prótesis deban cambiarse cada cinco años, lo cual no se presenta en la realidad cuando la mayoría de los usuarios de prótesis totales han tenido las mismas por períodos de tiempo que oscilan entre los 10 y los 45 años; si a esto se le agrega que hacen uso de éstas las 24 horas del día, sin retirarlas durante la noche para permitir a los tejidos que las soportan, su recuperación, se configura un cuadro que favorece la aparición de lesiones inflamatorias, ulcerativas e hiperplásicas.</w:t>
      </w:r>
    </w:p>
    <w:p w:rsidR="007106A5" w:rsidRPr="00EA0066" w:rsidRDefault="007106A5" w:rsidP="007929F6">
      <w:pPr>
        <w:spacing w:before="240"/>
        <w:jc w:val="both"/>
        <w:rPr>
          <w:rFonts w:ascii="Arial" w:hAnsi="Arial" w:cs="Arial"/>
          <w:color w:val="000000"/>
        </w:rPr>
      </w:pPr>
      <w:r w:rsidRPr="00EA0066">
        <w:rPr>
          <w:rFonts w:ascii="Arial" w:hAnsi="Arial" w:cs="Arial"/>
          <w:b/>
          <w:color w:val="000000"/>
        </w:rPr>
        <w:t>Tabla 3.</w:t>
      </w:r>
      <w:r w:rsidRPr="00EA0066">
        <w:rPr>
          <w:rFonts w:ascii="Arial" w:hAnsi="Arial" w:cs="Arial"/>
          <w:color w:val="000000"/>
        </w:rPr>
        <w:t xml:space="preserve"> Forma de uso de la prótesis de ancianos de la casa de abuelos Santa Lucía según sexo. </w:t>
      </w:r>
    </w:p>
    <w:tbl>
      <w:tblPr>
        <w:tblW w:w="4765" w:type="pct"/>
        <w:tblLayout w:type="fixed"/>
        <w:tblLook w:val="0000"/>
      </w:tblPr>
      <w:tblGrid>
        <w:gridCol w:w="2514"/>
        <w:gridCol w:w="1274"/>
        <w:gridCol w:w="1282"/>
        <w:gridCol w:w="1267"/>
        <w:gridCol w:w="994"/>
        <w:gridCol w:w="847"/>
        <w:gridCol w:w="990"/>
      </w:tblGrid>
      <w:tr w:rsidR="00024750" w:rsidRPr="007929F6" w:rsidTr="00366C33">
        <w:trPr>
          <w:trHeight w:val="397"/>
        </w:trPr>
        <w:tc>
          <w:tcPr>
            <w:tcW w:w="1371" w:type="pct"/>
            <w:vMerge w:val="restart"/>
            <w:tcBorders>
              <w:top w:val="single" w:sz="4" w:space="0" w:color="000000"/>
              <w:bottom w:val="single" w:sz="4" w:space="0" w:color="000000"/>
            </w:tcBorders>
            <w:shd w:val="clear" w:color="auto" w:fill="auto"/>
            <w:vAlign w:val="center"/>
          </w:tcPr>
          <w:p w:rsidR="00E91E83" w:rsidRPr="007929F6" w:rsidRDefault="00E91E83" w:rsidP="007929F6">
            <w:pPr>
              <w:snapToGrid w:val="0"/>
              <w:jc w:val="center"/>
              <w:rPr>
                <w:rFonts w:ascii="Arial" w:hAnsi="Arial" w:cs="Arial"/>
              </w:rPr>
            </w:pPr>
            <w:r w:rsidRPr="007929F6">
              <w:rPr>
                <w:rFonts w:ascii="Arial" w:hAnsi="Arial" w:cs="Arial"/>
              </w:rPr>
              <w:t>Forma de uso de la prótesis</w:t>
            </w:r>
          </w:p>
        </w:tc>
        <w:tc>
          <w:tcPr>
            <w:tcW w:w="2627" w:type="pct"/>
            <w:gridSpan w:val="4"/>
            <w:tcBorders>
              <w:top w:val="single" w:sz="4" w:space="0" w:color="000000"/>
              <w:bottom w:val="single" w:sz="4" w:space="0" w:color="000000"/>
            </w:tcBorders>
            <w:shd w:val="clear" w:color="auto" w:fill="auto"/>
            <w:vAlign w:val="center"/>
          </w:tcPr>
          <w:p w:rsidR="00E91E83" w:rsidRPr="007929F6" w:rsidRDefault="00E91E83" w:rsidP="007929F6">
            <w:pPr>
              <w:snapToGrid w:val="0"/>
              <w:jc w:val="center"/>
              <w:rPr>
                <w:rFonts w:ascii="Arial" w:hAnsi="Arial" w:cs="Arial"/>
              </w:rPr>
            </w:pPr>
            <w:r w:rsidRPr="007929F6">
              <w:rPr>
                <w:rFonts w:ascii="Arial" w:hAnsi="Arial" w:cs="Arial"/>
              </w:rPr>
              <w:t>Sexo</w:t>
            </w:r>
          </w:p>
        </w:tc>
        <w:tc>
          <w:tcPr>
            <w:tcW w:w="1002" w:type="pct"/>
            <w:gridSpan w:val="2"/>
            <w:vMerge w:val="restart"/>
            <w:tcBorders>
              <w:top w:val="single" w:sz="4" w:space="0" w:color="000000"/>
              <w:bottom w:val="single" w:sz="4" w:space="0" w:color="000000"/>
            </w:tcBorders>
            <w:shd w:val="clear" w:color="auto" w:fill="auto"/>
            <w:vAlign w:val="center"/>
          </w:tcPr>
          <w:p w:rsidR="00E91E83" w:rsidRPr="007929F6" w:rsidRDefault="00E91E83" w:rsidP="007929F6">
            <w:pPr>
              <w:snapToGrid w:val="0"/>
              <w:jc w:val="center"/>
              <w:rPr>
                <w:rFonts w:ascii="Arial" w:hAnsi="Arial" w:cs="Arial"/>
              </w:rPr>
            </w:pPr>
            <w:r w:rsidRPr="007929F6">
              <w:rPr>
                <w:rFonts w:ascii="Arial" w:hAnsi="Arial" w:cs="Arial"/>
              </w:rPr>
              <w:t>Total</w:t>
            </w:r>
          </w:p>
        </w:tc>
      </w:tr>
      <w:tr w:rsidR="00024750" w:rsidRPr="007929F6" w:rsidTr="00366C33">
        <w:trPr>
          <w:trHeight w:val="347"/>
        </w:trPr>
        <w:tc>
          <w:tcPr>
            <w:tcW w:w="1371" w:type="pct"/>
            <w:vMerge/>
            <w:tcBorders>
              <w:top w:val="single" w:sz="4" w:space="0" w:color="000000"/>
              <w:bottom w:val="single" w:sz="4" w:space="0" w:color="000000"/>
            </w:tcBorders>
            <w:shd w:val="clear" w:color="auto" w:fill="auto"/>
            <w:vAlign w:val="center"/>
          </w:tcPr>
          <w:p w:rsidR="00E91E83" w:rsidRPr="007929F6" w:rsidRDefault="00E91E83" w:rsidP="007929F6">
            <w:pPr>
              <w:snapToGrid w:val="0"/>
              <w:jc w:val="center"/>
              <w:rPr>
                <w:rFonts w:ascii="Arial" w:hAnsi="Arial" w:cs="Arial"/>
                <w:vertAlign w:val="superscript"/>
              </w:rPr>
            </w:pPr>
          </w:p>
        </w:tc>
        <w:tc>
          <w:tcPr>
            <w:tcW w:w="1394" w:type="pct"/>
            <w:gridSpan w:val="2"/>
            <w:tcBorders>
              <w:top w:val="single" w:sz="4" w:space="0" w:color="000000"/>
              <w:bottom w:val="single" w:sz="4" w:space="0" w:color="000000"/>
            </w:tcBorders>
            <w:shd w:val="clear" w:color="auto" w:fill="auto"/>
            <w:vAlign w:val="center"/>
          </w:tcPr>
          <w:p w:rsidR="00E91E83" w:rsidRPr="007929F6" w:rsidRDefault="00E91E83" w:rsidP="007929F6">
            <w:pPr>
              <w:snapToGrid w:val="0"/>
              <w:jc w:val="center"/>
              <w:rPr>
                <w:rFonts w:ascii="Arial" w:hAnsi="Arial" w:cs="Arial"/>
              </w:rPr>
            </w:pPr>
            <w:r w:rsidRPr="007929F6">
              <w:rPr>
                <w:rFonts w:ascii="Arial" w:hAnsi="Arial" w:cs="Arial"/>
              </w:rPr>
              <w:t>Femenino</w:t>
            </w:r>
          </w:p>
        </w:tc>
        <w:tc>
          <w:tcPr>
            <w:tcW w:w="1232" w:type="pct"/>
            <w:gridSpan w:val="2"/>
            <w:tcBorders>
              <w:top w:val="single" w:sz="4" w:space="0" w:color="000000"/>
              <w:bottom w:val="single" w:sz="4" w:space="0" w:color="000000"/>
            </w:tcBorders>
            <w:shd w:val="clear" w:color="auto" w:fill="auto"/>
            <w:vAlign w:val="center"/>
          </w:tcPr>
          <w:p w:rsidR="00E91E83" w:rsidRPr="007929F6" w:rsidRDefault="00E91E83" w:rsidP="007929F6">
            <w:pPr>
              <w:snapToGrid w:val="0"/>
              <w:jc w:val="center"/>
              <w:rPr>
                <w:rFonts w:ascii="Arial" w:hAnsi="Arial" w:cs="Arial"/>
              </w:rPr>
            </w:pPr>
            <w:r w:rsidRPr="007929F6">
              <w:rPr>
                <w:rFonts w:ascii="Arial" w:hAnsi="Arial" w:cs="Arial"/>
              </w:rPr>
              <w:t>Masculino</w:t>
            </w:r>
          </w:p>
        </w:tc>
        <w:tc>
          <w:tcPr>
            <w:tcW w:w="1002" w:type="pct"/>
            <w:gridSpan w:val="2"/>
            <w:vMerge/>
            <w:tcBorders>
              <w:top w:val="single" w:sz="4" w:space="0" w:color="000000"/>
              <w:bottom w:val="single" w:sz="4" w:space="0" w:color="000000"/>
            </w:tcBorders>
            <w:shd w:val="clear" w:color="auto" w:fill="auto"/>
            <w:vAlign w:val="center"/>
          </w:tcPr>
          <w:p w:rsidR="00E91E83" w:rsidRPr="007929F6" w:rsidRDefault="00E91E83" w:rsidP="007929F6">
            <w:pPr>
              <w:snapToGrid w:val="0"/>
              <w:jc w:val="center"/>
              <w:rPr>
                <w:rFonts w:ascii="Arial" w:hAnsi="Arial" w:cs="Arial"/>
                <w:vertAlign w:val="superscript"/>
              </w:rPr>
            </w:pPr>
          </w:p>
        </w:tc>
      </w:tr>
      <w:tr w:rsidR="00E4374C" w:rsidRPr="007929F6" w:rsidTr="00366C33">
        <w:trPr>
          <w:trHeight w:val="352"/>
        </w:trPr>
        <w:tc>
          <w:tcPr>
            <w:tcW w:w="1371" w:type="pct"/>
            <w:vMerge/>
            <w:tcBorders>
              <w:top w:val="single" w:sz="4" w:space="0" w:color="000000"/>
              <w:bottom w:val="single" w:sz="4" w:space="0" w:color="000000"/>
            </w:tcBorders>
            <w:shd w:val="clear" w:color="auto" w:fill="auto"/>
            <w:vAlign w:val="center"/>
          </w:tcPr>
          <w:p w:rsidR="00E91E83" w:rsidRPr="007929F6" w:rsidRDefault="00E91E83" w:rsidP="007929F6">
            <w:pPr>
              <w:snapToGrid w:val="0"/>
              <w:jc w:val="center"/>
              <w:rPr>
                <w:rFonts w:ascii="Arial" w:hAnsi="Arial" w:cs="Arial"/>
                <w:vertAlign w:val="superscript"/>
              </w:rPr>
            </w:pPr>
          </w:p>
        </w:tc>
        <w:tc>
          <w:tcPr>
            <w:tcW w:w="695" w:type="pct"/>
            <w:tcBorders>
              <w:top w:val="single" w:sz="4" w:space="0" w:color="000000"/>
              <w:bottom w:val="single" w:sz="4" w:space="0" w:color="000000"/>
            </w:tcBorders>
            <w:shd w:val="clear" w:color="auto" w:fill="auto"/>
            <w:vAlign w:val="center"/>
          </w:tcPr>
          <w:p w:rsidR="00E91E83" w:rsidRPr="007929F6" w:rsidRDefault="00E91E83" w:rsidP="007929F6">
            <w:pPr>
              <w:snapToGrid w:val="0"/>
              <w:jc w:val="center"/>
              <w:rPr>
                <w:rFonts w:ascii="Arial" w:hAnsi="Arial" w:cs="Arial"/>
              </w:rPr>
            </w:pPr>
            <w:r w:rsidRPr="007929F6">
              <w:rPr>
                <w:rFonts w:ascii="Arial" w:hAnsi="Arial" w:cs="Arial"/>
              </w:rPr>
              <w:t>No.</w:t>
            </w:r>
          </w:p>
        </w:tc>
        <w:tc>
          <w:tcPr>
            <w:tcW w:w="699" w:type="pct"/>
            <w:tcBorders>
              <w:top w:val="single" w:sz="4" w:space="0" w:color="000000"/>
              <w:bottom w:val="single" w:sz="4" w:space="0" w:color="000000"/>
            </w:tcBorders>
            <w:shd w:val="clear" w:color="auto" w:fill="auto"/>
            <w:vAlign w:val="center"/>
          </w:tcPr>
          <w:p w:rsidR="00E91E83" w:rsidRPr="007929F6" w:rsidRDefault="00E91E83" w:rsidP="007929F6">
            <w:pPr>
              <w:snapToGrid w:val="0"/>
              <w:jc w:val="center"/>
              <w:rPr>
                <w:rFonts w:ascii="Arial" w:hAnsi="Arial" w:cs="Arial"/>
              </w:rPr>
            </w:pPr>
            <w:r w:rsidRPr="007929F6">
              <w:rPr>
                <w:rFonts w:ascii="Arial" w:hAnsi="Arial" w:cs="Arial"/>
              </w:rPr>
              <w:t>%</w:t>
            </w:r>
          </w:p>
        </w:tc>
        <w:tc>
          <w:tcPr>
            <w:tcW w:w="691" w:type="pct"/>
            <w:tcBorders>
              <w:top w:val="single" w:sz="4" w:space="0" w:color="000000"/>
              <w:bottom w:val="single" w:sz="4" w:space="0" w:color="000000"/>
            </w:tcBorders>
            <w:shd w:val="clear" w:color="auto" w:fill="auto"/>
            <w:vAlign w:val="center"/>
          </w:tcPr>
          <w:p w:rsidR="00E91E83" w:rsidRPr="007929F6" w:rsidRDefault="00E91E83" w:rsidP="007929F6">
            <w:pPr>
              <w:snapToGrid w:val="0"/>
              <w:jc w:val="center"/>
              <w:rPr>
                <w:rFonts w:ascii="Arial" w:hAnsi="Arial" w:cs="Arial"/>
              </w:rPr>
            </w:pPr>
            <w:r w:rsidRPr="007929F6">
              <w:rPr>
                <w:rFonts w:ascii="Arial" w:hAnsi="Arial" w:cs="Arial"/>
              </w:rPr>
              <w:t>No</w:t>
            </w:r>
          </w:p>
        </w:tc>
        <w:tc>
          <w:tcPr>
            <w:tcW w:w="541" w:type="pct"/>
            <w:tcBorders>
              <w:top w:val="single" w:sz="4" w:space="0" w:color="000000"/>
              <w:bottom w:val="single" w:sz="4" w:space="0" w:color="000000"/>
            </w:tcBorders>
            <w:shd w:val="clear" w:color="auto" w:fill="auto"/>
            <w:vAlign w:val="center"/>
          </w:tcPr>
          <w:p w:rsidR="00E91E83" w:rsidRPr="007929F6" w:rsidRDefault="00E91E83" w:rsidP="007929F6">
            <w:pPr>
              <w:snapToGrid w:val="0"/>
              <w:jc w:val="center"/>
              <w:rPr>
                <w:rFonts w:ascii="Arial" w:hAnsi="Arial" w:cs="Arial"/>
              </w:rPr>
            </w:pPr>
            <w:r w:rsidRPr="007929F6">
              <w:rPr>
                <w:rFonts w:ascii="Arial" w:hAnsi="Arial" w:cs="Arial"/>
              </w:rPr>
              <w:t>%.</w:t>
            </w:r>
          </w:p>
        </w:tc>
        <w:tc>
          <w:tcPr>
            <w:tcW w:w="462" w:type="pct"/>
            <w:tcBorders>
              <w:top w:val="single" w:sz="4" w:space="0" w:color="000000"/>
              <w:bottom w:val="single" w:sz="4" w:space="0" w:color="000000"/>
            </w:tcBorders>
            <w:shd w:val="clear" w:color="auto" w:fill="auto"/>
            <w:vAlign w:val="center"/>
          </w:tcPr>
          <w:p w:rsidR="00E91E83" w:rsidRPr="007929F6" w:rsidRDefault="00E91E83" w:rsidP="007929F6">
            <w:pPr>
              <w:snapToGrid w:val="0"/>
              <w:jc w:val="center"/>
              <w:rPr>
                <w:rFonts w:ascii="Arial" w:hAnsi="Arial" w:cs="Arial"/>
              </w:rPr>
            </w:pPr>
            <w:r w:rsidRPr="007929F6">
              <w:rPr>
                <w:rFonts w:ascii="Arial" w:hAnsi="Arial" w:cs="Arial"/>
              </w:rPr>
              <w:t>No.</w:t>
            </w:r>
          </w:p>
        </w:tc>
        <w:tc>
          <w:tcPr>
            <w:tcW w:w="540" w:type="pct"/>
            <w:tcBorders>
              <w:top w:val="single" w:sz="4" w:space="0" w:color="000000"/>
              <w:bottom w:val="single" w:sz="4" w:space="0" w:color="000000"/>
            </w:tcBorders>
            <w:shd w:val="clear" w:color="auto" w:fill="auto"/>
            <w:vAlign w:val="center"/>
          </w:tcPr>
          <w:p w:rsidR="00E91E83" w:rsidRPr="007929F6" w:rsidRDefault="00E91E83" w:rsidP="007929F6">
            <w:pPr>
              <w:snapToGrid w:val="0"/>
              <w:jc w:val="center"/>
              <w:rPr>
                <w:rFonts w:ascii="Arial" w:hAnsi="Arial" w:cs="Arial"/>
              </w:rPr>
            </w:pPr>
            <w:r w:rsidRPr="007929F6">
              <w:rPr>
                <w:rFonts w:ascii="Arial" w:hAnsi="Arial" w:cs="Arial"/>
              </w:rPr>
              <w:t>%.</w:t>
            </w:r>
          </w:p>
        </w:tc>
      </w:tr>
      <w:tr w:rsidR="00943B4B" w:rsidRPr="007929F6" w:rsidTr="00366C33">
        <w:trPr>
          <w:trHeight w:val="352"/>
        </w:trPr>
        <w:tc>
          <w:tcPr>
            <w:tcW w:w="1371" w:type="pct"/>
            <w:tcBorders>
              <w:top w:val="single" w:sz="4" w:space="0" w:color="000000"/>
              <w:bottom w:val="single" w:sz="4" w:space="0" w:color="000000"/>
            </w:tcBorders>
            <w:shd w:val="clear" w:color="auto" w:fill="auto"/>
            <w:vAlign w:val="center"/>
          </w:tcPr>
          <w:p w:rsidR="00CF786F" w:rsidRPr="007929F6" w:rsidRDefault="00CF786F" w:rsidP="007929F6">
            <w:pPr>
              <w:snapToGrid w:val="0"/>
              <w:jc w:val="center"/>
              <w:rPr>
                <w:rFonts w:ascii="Arial" w:hAnsi="Arial" w:cs="Arial"/>
              </w:rPr>
            </w:pPr>
            <w:r w:rsidRPr="007929F6">
              <w:rPr>
                <w:rFonts w:ascii="Arial" w:hAnsi="Arial" w:cs="Arial"/>
              </w:rPr>
              <w:t>No posee prótesis</w:t>
            </w:r>
          </w:p>
        </w:tc>
        <w:tc>
          <w:tcPr>
            <w:tcW w:w="695" w:type="pct"/>
            <w:tcBorders>
              <w:top w:val="single" w:sz="4" w:space="0" w:color="000000"/>
              <w:bottom w:val="single" w:sz="4" w:space="0" w:color="000000"/>
            </w:tcBorders>
            <w:shd w:val="clear" w:color="auto" w:fill="auto"/>
            <w:vAlign w:val="center"/>
          </w:tcPr>
          <w:p w:rsidR="00CF786F" w:rsidRPr="007929F6" w:rsidRDefault="00CF786F" w:rsidP="007929F6">
            <w:pPr>
              <w:suppressAutoHyphens w:val="0"/>
              <w:jc w:val="center"/>
              <w:rPr>
                <w:rFonts w:ascii="Arial" w:hAnsi="Arial" w:cs="Arial"/>
                <w:color w:val="000000"/>
                <w:lang w:val="es-VE" w:eastAsia="es-VE"/>
              </w:rPr>
            </w:pPr>
            <w:r w:rsidRPr="007929F6">
              <w:rPr>
                <w:rFonts w:ascii="Arial" w:hAnsi="Arial" w:cs="Arial"/>
                <w:color w:val="000000"/>
              </w:rPr>
              <w:t>1</w:t>
            </w:r>
          </w:p>
        </w:tc>
        <w:tc>
          <w:tcPr>
            <w:tcW w:w="699"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5,6</w:t>
            </w:r>
          </w:p>
        </w:tc>
        <w:tc>
          <w:tcPr>
            <w:tcW w:w="691"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0</w:t>
            </w:r>
          </w:p>
        </w:tc>
        <w:tc>
          <w:tcPr>
            <w:tcW w:w="541"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0,0</w:t>
            </w:r>
          </w:p>
        </w:tc>
        <w:tc>
          <w:tcPr>
            <w:tcW w:w="462"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1</w:t>
            </w:r>
          </w:p>
        </w:tc>
        <w:tc>
          <w:tcPr>
            <w:tcW w:w="540"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2,4</w:t>
            </w:r>
          </w:p>
        </w:tc>
      </w:tr>
      <w:tr w:rsidR="00E4374C" w:rsidRPr="007929F6" w:rsidTr="00366C33">
        <w:trPr>
          <w:trHeight w:val="367"/>
        </w:trPr>
        <w:tc>
          <w:tcPr>
            <w:tcW w:w="1371" w:type="pct"/>
            <w:tcBorders>
              <w:top w:val="single" w:sz="4" w:space="0" w:color="000000"/>
              <w:bottom w:val="single" w:sz="4" w:space="0" w:color="000000"/>
            </w:tcBorders>
            <w:shd w:val="clear" w:color="auto" w:fill="auto"/>
            <w:vAlign w:val="center"/>
          </w:tcPr>
          <w:p w:rsidR="00CF786F" w:rsidRPr="007929F6" w:rsidRDefault="00CF786F" w:rsidP="007929F6">
            <w:pPr>
              <w:snapToGrid w:val="0"/>
              <w:jc w:val="center"/>
              <w:rPr>
                <w:rFonts w:ascii="Arial" w:hAnsi="Arial" w:cs="Arial"/>
              </w:rPr>
            </w:pPr>
            <w:r w:rsidRPr="007929F6">
              <w:rPr>
                <w:rFonts w:ascii="Arial" w:hAnsi="Arial" w:cs="Arial"/>
              </w:rPr>
              <w:t>Continuo</w:t>
            </w:r>
          </w:p>
        </w:tc>
        <w:tc>
          <w:tcPr>
            <w:tcW w:w="695"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2</w:t>
            </w:r>
          </w:p>
        </w:tc>
        <w:tc>
          <w:tcPr>
            <w:tcW w:w="699"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11,1</w:t>
            </w:r>
          </w:p>
        </w:tc>
        <w:tc>
          <w:tcPr>
            <w:tcW w:w="691"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4</w:t>
            </w:r>
          </w:p>
        </w:tc>
        <w:tc>
          <w:tcPr>
            <w:tcW w:w="541"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17,4</w:t>
            </w:r>
          </w:p>
        </w:tc>
        <w:tc>
          <w:tcPr>
            <w:tcW w:w="462"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6</w:t>
            </w:r>
          </w:p>
        </w:tc>
        <w:tc>
          <w:tcPr>
            <w:tcW w:w="540"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14,6</w:t>
            </w:r>
          </w:p>
        </w:tc>
      </w:tr>
      <w:tr w:rsidR="00E4374C" w:rsidRPr="007929F6" w:rsidTr="00366C33">
        <w:trPr>
          <w:trHeight w:val="445"/>
        </w:trPr>
        <w:tc>
          <w:tcPr>
            <w:tcW w:w="1371" w:type="pct"/>
            <w:tcBorders>
              <w:top w:val="single" w:sz="4" w:space="0" w:color="000000"/>
              <w:bottom w:val="single" w:sz="4" w:space="0" w:color="000000"/>
            </w:tcBorders>
            <w:shd w:val="clear" w:color="auto" w:fill="auto"/>
            <w:vAlign w:val="center"/>
          </w:tcPr>
          <w:p w:rsidR="00CF786F" w:rsidRPr="007929F6" w:rsidRDefault="00CF786F" w:rsidP="007929F6">
            <w:pPr>
              <w:snapToGrid w:val="0"/>
              <w:jc w:val="center"/>
              <w:rPr>
                <w:rFonts w:ascii="Arial" w:hAnsi="Arial" w:cs="Arial"/>
              </w:rPr>
            </w:pPr>
            <w:r w:rsidRPr="007929F6">
              <w:rPr>
                <w:rFonts w:ascii="Arial" w:hAnsi="Arial" w:cs="Arial"/>
              </w:rPr>
              <w:t>Interrumpido</w:t>
            </w:r>
          </w:p>
        </w:tc>
        <w:tc>
          <w:tcPr>
            <w:tcW w:w="695"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15</w:t>
            </w:r>
          </w:p>
        </w:tc>
        <w:tc>
          <w:tcPr>
            <w:tcW w:w="699"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83,3</w:t>
            </w:r>
          </w:p>
        </w:tc>
        <w:tc>
          <w:tcPr>
            <w:tcW w:w="691"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19</w:t>
            </w:r>
          </w:p>
        </w:tc>
        <w:tc>
          <w:tcPr>
            <w:tcW w:w="541"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82,6</w:t>
            </w:r>
          </w:p>
        </w:tc>
        <w:tc>
          <w:tcPr>
            <w:tcW w:w="462"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34</w:t>
            </w:r>
          </w:p>
        </w:tc>
        <w:tc>
          <w:tcPr>
            <w:tcW w:w="540"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82,9</w:t>
            </w:r>
          </w:p>
        </w:tc>
      </w:tr>
      <w:tr w:rsidR="00E4374C" w:rsidRPr="007929F6" w:rsidTr="00366C33">
        <w:trPr>
          <w:trHeight w:val="451"/>
        </w:trPr>
        <w:tc>
          <w:tcPr>
            <w:tcW w:w="1371" w:type="pct"/>
            <w:tcBorders>
              <w:top w:val="single" w:sz="4" w:space="0" w:color="000000"/>
              <w:bottom w:val="single" w:sz="4" w:space="0" w:color="000000"/>
            </w:tcBorders>
            <w:shd w:val="clear" w:color="auto" w:fill="auto"/>
            <w:vAlign w:val="center"/>
          </w:tcPr>
          <w:p w:rsidR="00CF786F" w:rsidRPr="007929F6" w:rsidRDefault="00CF786F" w:rsidP="007929F6">
            <w:pPr>
              <w:snapToGrid w:val="0"/>
              <w:jc w:val="center"/>
              <w:rPr>
                <w:rFonts w:ascii="Arial" w:hAnsi="Arial" w:cs="Arial"/>
              </w:rPr>
            </w:pPr>
            <w:r w:rsidRPr="007929F6">
              <w:rPr>
                <w:rFonts w:ascii="Arial" w:hAnsi="Arial" w:cs="Arial"/>
              </w:rPr>
              <w:lastRenderedPageBreak/>
              <w:t xml:space="preserve">Total </w:t>
            </w:r>
          </w:p>
        </w:tc>
        <w:tc>
          <w:tcPr>
            <w:tcW w:w="695"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18</w:t>
            </w:r>
          </w:p>
        </w:tc>
        <w:tc>
          <w:tcPr>
            <w:tcW w:w="699"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43,9</w:t>
            </w:r>
          </w:p>
        </w:tc>
        <w:tc>
          <w:tcPr>
            <w:tcW w:w="691"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23</w:t>
            </w:r>
          </w:p>
        </w:tc>
        <w:tc>
          <w:tcPr>
            <w:tcW w:w="541"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56,1</w:t>
            </w:r>
          </w:p>
        </w:tc>
        <w:tc>
          <w:tcPr>
            <w:tcW w:w="462"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41</w:t>
            </w:r>
          </w:p>
        </w:tc>
        <w:tc>
          <w:tcPr>
            <w:tcW w:w="540" w:type="pct"/>
            <w:tcBorders>
              <w:top w:val="single" w:sz="4" w:space="0" w:color="000000"/>
              <w:bottom w:val="single" w:sz="4" w:space="0" w:color="000000"/>
            </w:tcBorders>
            <w:shd w:val="clear" w:color="auto" w:fill="auto"/>
            <w:vAlign w:val="center"/>
          </w:tcPr>
          <w:p w:rsidR="00CF786F" w:rsidRPr="007929F6" w:rsidRDefault="00CF786F" w:rsidP="007929F6">
            <w:pPr>
              <w:jc w:val="center"/>
              <w:rPr>
                <w:rFonts w:ascii="Arial" w:hAnsi="Arial" w:cs="Arial"/>
                <w:color w:val="000000"/>
              </w:rPr>
            </w:pPr>
            <w:r w:rsidRPr="007929F6">
              <w:rPr>
                <w:rFonts w:ascii="Arial" w:hAnsi="Arial" w:cs="Arial"/>
                <w:color w:val="000000"/>
              </w:rPr>
              <w:t>100</w:t>
            </w:r>
          </w:p>
        </w:tc>
      </w:tr>
    </w:tbl>
    <w:p w:rsidR="00E91E83" w:rsidRPr="00EA0066" w:rsidRDefault="00E91E83" w:rsidP="007929F6">
      <w:pPr>
        <w:spacing w:before="240"/>
        <w:ind w:left="-5" w:right="5"/>
        <w:jc w:val="both"/>
        <w:rPr>
          <w:rFonts w:ascii="Arial" w:hAnsi="Arial" w:cs="Arial"/>
          <w:color w:val="000000"/>
        </w:rPr>
      </w:pPr>
    </w:p>
    <w:p w:rsidR="00E91E83" w:rsidRPr="00EA0066" w:rsidRDefault="00E91E83" w:rsidP="007929F6">
      <w:pPr>
        <w:spacing w:before="240"/>
        <w:ind w:left="-5" w:right="5"/>
        <w:jc w:val="both"/>
        <w:rPr>
          <w:rFonts w:ascii="Arial" w:hAnsi="Arial" w:cs="Arial"/>
          <w:color w:val="000000"/>
        </w:rPr>
      </w:pPr>
      <w:r w:rsidRPr="00EA0066">
        <w:rPr>
          <w:rFonts w:ascii="Arial" w:hAnsi="Arial" w:cs="Arial"/>
          <w:color w:val="000000"/>
        </w:rPr>
        <w:t xml:space="preserve">En la tabla </w:t>
      </w:r>
      <w:r w:rsidR="00D91174" w:rsidRPr="00EA0066">
        <w:rPr>
          <w:rFonts w:ascii="Arial" w:hAnsi="Arial" w:cs="Arial"/>
          <w:color w:val="000000"/>
        </w:rPr>
        <w:t>3</w:t>
      </w:r>
      <w:r w:rsidRPr="00EA0066">
        <w:rPr>
          <w:rFonts w:ascii="Arial" w:hAnsi="Arial" w:cs="Arial"/>
          <w:color w:val="000000"/>
        </w:rPr>
        <w:t xml:space="preserve"> podemos observar la forma de uso de la prótesis presentes en la población objeto de estudio determinándose que el 8</w:t>
      </w:r>
      <w:r w:rsidR="0066100B" w:rsidRPr="00EA0066">
        <w:rPr>
          <w:rFonts w:ascii="Arial" w:hAnsi="Arial" w:cs="Arial"/>
          <w:color w:val="000000"/>
        </w:rPr>
        <w:t>2,9</w:t>
      </w:r>
      <w:r w:rsidRPr="00EA0066">
        <w:rPr>
          <w:rFonts w:ascii="Arial" w:hAnsi="Arial" w:cs="Arial"/>
          <w:color w:val="000000"/>
        </w:rPr>
        <w:t>%de la población usa la prótesis de forma interrumpido</w:t>
      </w:r>
      <w:r w:rsidR="00874D9C" w:rsidRPr="00EA0066">
        <w:rPr>
          <w:rFonts w:ascii="Arial" w:hAnsi="Arial" w:cs="Arial"/>
          <w:color w:val="000000"/>
        </w:rPr>
        <w:t xml:space="preserve"> existiendo un predominio del </w:t>
      </w:r>
      <w:r w:rsidRPr="00EA0066">
        <w:rPr>
          <w:rFonts w:ascii="Arial" w:hAnsi="Arial" w:cs="Arial"/>
          <w:color w:val="000000"/>
        </w:rPr>
        <w:t xml:space="preserve">sexo </w:t>
      </w:r>
      <w:r w:rsidR="00874D9C" w:rsidRPr="00EA0066">
        <w:rPr>
          <w:rFonts w:ascii="Arial" w:hAnsi="Arial" w:cs="Arial"/>
          <w:color w:val="000000"/>
        </w:rPr>
        <w:t>masculino</w:t>
      </w:r>
      <w:r w:rsidRPr="00EA0066">
        <w:rPr>
          <w:rFonts w:ascii="Arial" w:hAnsi="Arial" w:cs="Arial"/>
          <w:color w:val="000000"/>
        </w:rPr>
        <w:t xml:space="preserve"> con un </w:t>
      </w:r>
      <w:r w:rsidR="00F518B3" w:rsidRPr="00EA0066">
        <w:rPr>
          <w:rFonts w:ascii="Arial" w:hAnsi="Arial" w:cs="Arial"/>
          <w:color w:val="000000"/>
        </w:rPr>
        <w:t>82,6</w:t>
      </w:r>
      <w:r w:rsidRPr="00EA0066">
        <w:rPr>
          <w:rFonts w:ascii="Arial" w:hAnsi="Arial" w:cs="Arial"/>
          <w:color w:val="000000"/>
        </w:rPr>
        <w:t>%</w:t>
      </w:r>
      <w:r w:rsidR="00F518B3" w:rsidRPr="00EA0066">
        <w:rPr>
          <w:rFonts w:ascii="Arial" w:hAnsi="Arial" w:cs="Arial"/>
          <w:color w:val="000000"/>
        </w:rPr>
        <w:t>.</w:t>
      </w:r>
    </w:p>
    <w:p w:rsidR="00E91E83" w:rsidRPr="00EA0066" w:rsidRDefault="008D644B" w:rsidP="007929F6">
      <w:pPr>
        <w:spacing w:before="240"/>
        <w:jc w:val="both"/>
        <w:rPr>
          <w:rFonts w:ascii="Arial" w:hAnsi="Arial" w:cs="Arial"/>
        </w:rPr>
      </w:pPr>
      <w:r>
        <w:rPr>
          <w:rFonts w:ascii="Arial" w:hAnsi="Arial" w:cs="Arial"/>
          <w:lang w:val="es-ES_tradnl"/>
        </w:rPr>
        <w:t xml:space="preserve">El </w:t>
      </w:r>
      <w:r>
        <w:rPr>
          <w:rFonts w:ascii="Arial" w:hAnsi="Arial" w:cs="Arial"/>
        </w:rPr>
        <w:t>Dr</w:t>
      </w:r>
      <w:r w:rsidR="00E91E83" w:rsidRPr="00EA0066">
        <w:rPr>
          <w:rFonts w:ascii="Arial" w:hAnsi="Arial" w:cs="Arial"/>
        </w:rPr>
        <w:t xml:space="preserve">. </w:t>
      </w:r>
      <w:r>
        <w:rPr>
          <w:rFonts w:ascii="Arial" w:hAnsi="Arial" w:cs="Arial"/>
        </w:rPr>
        <w:t>Domínguez Santana</w:t>
      </w:r>
      <w:r w:rsidR="004834DC" w:rsidRPr="00EA0066">
        <w:rPr>
          <w:rFonts w:ascii="Arial" w:hAnsi="Arial" w:cs="Arial"/>
          <w:vertAlign w:val="superscript"/>
        </w:rPr>
        <w:t>4</w:t>
      </w:r>
      <w:r w:rsidR="00F518B3" w:rsidRPr="00EA0066">
        <w:rPr>
          <w:rFonts w:ascii="Arial" w:hAnsi="Arial" w:cs="Arial"/>
        </w:rPr>
        <w:t xml:space="preserve"> en su estudio aprecia el uso de la prótesis</w:t>
      </w:r>
      <w:r w:rsidR="00E91E83" w:rsidRPr="00EA0066">
        <w:rPr>
          <w:rFonts w:ascii="Arial" w:hAnsi="Arial" w:cs="Arial"/>
        </w:rPr>
        <w:t xml:space="preserve"> como un factor de riesgo de la salud bucal</w:t>
      </w:r>
      <w:r w:rsidR="00F518B3" w:rsidRPr="00EA0066">
        <w:rPr>
          <w:rFonts w:ascii="Arial" w:hAnsi="Arial" w:cs="Arial"/>
        </w:rPr>
        <w:t>, en su población prevaleció el uso continuo de la prótesis ya que la mayor</w:t>
      </w:r>
      <w:r w:rsidR="00E91E83" w:rsidRPr="00EA0066">
        <w:rPr>
          <w:rFonts w:ascii="Arial" w:hAnsi="Arial" w:cs="Arial"/>
        </w:rPr>
        <w:t>ía no descansa del uso de la misma en ningúnmomento del día ni para dormir dándole un (11.1</w:t>
      </w:r>
      <w:r w:rsidR="00E91E83" w:rsidRPr="00EA0066">
        <w:rPr>
          <w:rFonts w:ascii="Arial" w:hAnsi="Arial" w:cs="Arial"/>
          <w:color w:val="000000"/>
        </w:rPr>
        <w:t>%).</w:t>
      </w:r>
    </w:p>
    <w:p w:rsidR="00E91E83" w:rsidRPr="00EA0066" w:rsidRDefault="00E91E83" w:rsidP="007929F6">
      <w:pPr>
        <w:spacing w:before="240"/>
        <w:jc w:val="both"/>
        <w:rPr>
          <w:rFonts w:ascii="Arial" w:hAnsi="Arial" w:cs="Arial"/>
        </w:rPr>
      </w:pPr>
      <w:r w:rsidRPr="00EA0066">
        <w:rPr>
          <w:rFonts w:ascii="Arial" w:hAnsi="Arial" w:cs="Arial"/>
        </w:rPr>
        <w:t xml:space="preserve">Estudios realizados en Ciudad de la Habana por la Dra. González Ramos </w:t>
      </w:r>
      <w:r w:rsidR="004834DC" w:rsidRPr="00EA0066">
        <w:rPr>
          <w:rFonts w:ascii="Arial" w:hAnsi="Arial" w:cs="Arial"/>
          <w:vertAlign w:val="superscript"/>
        </w:rPr>
        <w:t>12</w:t>
      </w:r>
      <w:r w:rsidRPr="00EA0066">
        <w:rPr>
          <w:rFonts w:ascii="Arial" w:hAnsi="Arial" w:cs="Arial"/>
        </w:rPr>
        <w:t xml:space="preserve"> coinciden con el nuestro porque después de efectuado su programa educativo la realización de </w:t>
      </w:r>
      <w:r w:rsidR="00E4374C" w:rsidRPr="00EA0066">
        <w:rPr>
          <w:rFonts w:ascii="Arial" w:hAnsi="Arial" w:cs="Arial"/>
        </w:rPr>
        <w:t>la higiene</w:t>
      </w:r>
      <w:r w:rsidRPr="00EA0066">
        <w:rPr>
          <w:rFonts w:ascii="Arial" w:hAnsi="Arial" w:cs="Arial"/>
        </w:rPr>
        <w:t xml:space="preserve"> dental correcta y de sus prótesis ascendió al91,9 % por lo que el uso de la prótesis lo realizan de forma interrumpido.</w:t>
      </w:r>
      <w:r w:rsidR="002A0D28" w:rsidRPr="00EA0066">
        <w:rPr>
          <w:rFonts w:ascii="Arial" w:hAnsi="Arial" w:cs="Arial"/>
        </w:rPr>
        <w:t xml:space="preserve">Por su parte la </w:t>
      </w:r>
      <w:r w:rsidRPr="00EA0066">
        <w:rPr>
          <w:rFonts w:ascii="Arial" w:hAnsi="Arial" w:cs="Arial"/>
        </w:rPr>
        <w:t xml:space="preserve">Dra. Mulet García </w:t>
      </w:r>
      <w:r w:rsidR="004834DC" w:rsidRPr="00EA0066">
        <w:rPr>
          <w:rFonts w:ascii="Arial" w:hAnsi="Arial" w:cs="Arial"/>
          <w:vertAlign w:val="superscript"/>
        </w:rPr>
        <w:t>13</w:t>
      </w:r>
      <w:r w:rsidR="002A0D28" w:rsidRPr="00EA0066">
        <w:rPr>
          <w:rFonts w:ascii="Arial" w:hAnsi="Arial" w:cs="Arial"/>
        </w:rPr>
        <w:t xml:space="preserve">obtiene resultados que tampoco </w:t>
      </w:r>
      <w:r w:rsidRPr="00EA0066">
        <w:rPr>
          <w:rFonts w:ascii="Arial" w:hAnsi="Arial" w:cs="Arial"/>
        </w:rPr>
        <w:t xml:space="preserve">coinciden con los de nuestra investigación </w:t>
      </w:r>
      <w:r w:rsidR="002A0D28" w:rsidRPr="00EA0066">
        <w:rPr>
          <w:rFonts w:ascii="Arial" w:hAnsi="Arial" w:cs="Arial"/>
        </w:rPr>
        <w:t xml:space="preserve">ya queobtuvo que </w:t>
      </w:r>
      <w:r w:rsidR="00E4374C" w:rsidRPr="00EA0066">
        <w:rPr>
          <w:rFonts w:ascii="Arial" w:hAnsi="Arial" w:cs="Arial"/>
        </w:rPr>
        <w:t>el</w:t>
      </w:r>
      <w:r w:rsidRPr="00EA0066">
        <w:rPr>
          <w:rFonts w:ascii="Arial" w:hAnsi="Arial" w:cs="Arial"/>
        </w:rPr>
        <w:t xml:space="preserve"> 81,4 % us</w:t>
      </w:r>
      <w:r w:rsidR="002A0D28" w:rsidRPr="00EA0066">
        <w:rPr>
          <w:rFonts w:ascii="Arial" w:hAnsi="Arial" w:cs="Arial"/>
        </w:rPr>
        <w:t>aba</w:t>
      </w:r>
      <w:r w:rsidRPr="00EA0066">
        <w:rPr>
          <w:rFonts w:ascii="Arial" w:hAnsi="Arial" w:cs="Arial"/>
        </w:rPr>
        <w:t xml:space="preserve"> de forma continua el aparato protésico.</w:t>
      </w:r>
    </w:p>
    <w:p w:rsidR="008942ED" w:rsidRPr="00EA0066" w:rsidRDefault="008942ED" w:rsidP="007929F6">
      <w:pPr>
        <w:spacing w:before="240"/>
        <w:jc w:val="both"/>
        <w:rPr>
          <w:rFonts w:ascii="Arial" w:hAnsi="Arial" w:cs="Arial"/>
          <w:color w:val="000000"/>
        </w:rPr>
      </w:pPr>
      <w:r w:rsidRPr="00EA0066">
        <w:rPr>
          <w:rFonts w:ascii="Arial" w:hAnsi="Arial" w:cs="Arial"/>
          <w:b/>
          <w:color w:val="000000"/>
        </w:rPr>
        <w:t xml:space="preserve">Tabla </w:t>
      </w:r>
      <w:r w:rsidR="007106A5" w:rsidRPr="00EA0066">
        <w:rPr>
          <w:rFonts w:ascii="Arial" w:hAnsi="Arial" w:cs="Arial"/>
          <w:b/>
          <w:color w:val="000000"/>
        </w:rPr>
        <w:t>4</w:t>
      </w:r>
      <w:r w:rsidRPr="00EA0066">
        <w:rPr>
          <w:rFonts w:ascii="Arial" w:hAnsi="Arial" w:cs="Arial"/>
          <w:b/>
          <w:color w:val="000000"/>
        </w:rPr>
        <w:t>.</w:t>
      </w:r>
      <w:r w:rsidRPr="00EA0066">
        <w:rPr>
          <w:rFonts w:ascii="Arial" w:hAnsi="Arial" w:cs="Arial"/>
          <w:color w:val="000000"/>
        </w:rPr>
        <w:t xml:space="preserve"> Estado de los dientes remanentes según presencia de caries y </w:t>
      </w:r>
      <w:r w:rsidR="00EF44B3" w:rsidRPr="00EA0066">
        <w:rPr>
          <w:rFonts w:ascii="Arial" w:hAnsi="Arial" w:cs="Arial"/>
          <w:color w:val="000000"/>
        </w:rPr>
        <w:t xml:space="preserve">movilidad por </w:t>
      </w:r>
      <w:r w:rsidRPr="00EA0066">
        <w:rPr>
          <w:rFonts w:ascii="Arial" w:hAnsi="Arial" w:cs="Arial"/>
          <w:color w:val="000000"/>
        </w:rPr>
        <w:t xml:space="preserve">periodontopatías de los adultos mayores según sexo. </w:t>
      </w:r>
    </w:p>
    <w:tbl>
      <w:tblPr>
        <w:tblW w:w="4799" w:type="pct"/>
        <w:tblLook w:val="0000"/>
      </w:tblPr>
      <w:tblGrid>
        <w:gridCol w:w="2856"/>
        <w:gridCol w:w="1366"/>
        <w:gridCol w:w="912"/>
        <w:gridCol w:w="1366"/>
        <w:gridCol w:w="912"/>
        <w:gridCol w:w="912"/>
        <w:gridCol w:w="909"/>
      </w:tblGrid>
      <w:tr w:rsidR="008942ED" w:rsidRPr="007929F6" w:rsidTr="007929F6">
        <w:trPr>
          <w:trHeight w:val="336"/>
        </w:trPr>
        <w:tc>
          <w:tcPr>
            <w:tcW w:w="1546" w:type="pct"/>
            <w:vMerge w:val="restart"/>
            <w:tcBorders>
              <w:top w:val="single" w:sz="4" w:space="0" w:color="000000"/>
              <w:bottom w:val="single" w:sz="4" w:space="0" w:color="000000"/>
            </w:tcBorders>
            <w:shd w:val="clear" w:color="auto" w:fill="auto"/>
            <w:vAlign w:val="center"/>
          </w:tcPr>
          <w:p w:rsidR="008942ED" w:rsidRPr="007929F6" w:rsidRDefault="008942ED" w:rsidP="007929F6">
            <w:pPr>
              <w:snapToGrid w:val="0"/>
              <w:jc w:val="center"/>
              <w:rPr>
                <w:rFonts w:ascii="Arial" w:hAnsi="Arial" w:cs="Arial"/>
              </w:rPr>
            </w:pPr>
            <w:r w:rsidRPr="007929F6">
              <w:rPr>
                <w:rFonts w:ascii="Arial" w:hAnsi="Arial" w:cs="Arial"/>
              </w:rPr>
              <w:t>E</w:t>
            </w:r>
            <w:r w:rsidR="00EF44B3" w:rsidRPr="007929F6">
              <w:rPr>
                <w:rFonts w:ascii="Arial" w:hAnsi="Arial" w:cs="Arial"/>
              </w:rPr>
              <w:t xml:space="preserve">stado de los dientes </w:t>
            </w:r>
          </w:p>
        </w:tc>
        <w:tc>
          <w:tcPr>
            <w:tcW w:w="2468" w:type="pct"/>
            <w:gridSpan w:val="4"/>
            <w:tcBorders>
              <w:top w:val="single" w:sz="4" w:space="0" w:color="000000"/>
              <w:bottom w:val="single" w:sz="4" w:space="0" w:color="000000"/>
            </w:tcBorders>
            <w:shd w:val="clear" w:color="auto" w:fill="auto"/>
            <w:vAlign w:val="center"/>
          </w:tcPr>
          <w:p w:rsidR="008942ED" w:rsidRPr="007929F6" w:rsidRDefault="008942ED" w:rsidP="007929F6">
            <w:pPr>
              <w:snapToGrid w:val="0"/>
              <w:jc w:val="center"/>
              <w:rPr>
                <w:rFonts w:ascii="Arial" w:hAnsi="Arial" w:cs="Arial"/>
              </w:rPr>
            </w:pPr>
            <w:r w:rsidRPr="007929F6">
              <w:rPr>
                <w:rFonts w:ascii="Arial" w:hAnsi="Arial" w:cs="Arial"/>
              </w:rPr>
              <w:t>Sexo</w:t>
            </w:r>
          </w:p>
        </w:tc>
        <w:tc>
          <w:tcPr>
            <w:tcW w:w="987" w:type="pct"/>
            <w:gridSpan w:val="2"/>
            <w:vMerge w:val="restart"/>
            <w:tcBorders>
              <w:top w:val="single" w:sz="4" w:space="0" w:color="000000"/>
              <w:bottom w:val="single" w:sz="4" w:space="0" w:color="000000"/>
            </w:tcBorders>
            <w:shd w:val="clear" w:color="auto" w:fill="auto"/>
            <w:vAlign w:val="center"/>
          </w:tcPr>
          <w:p w:rsidR="008942ED" w:rsidRPr="007929F6" w:rsidRDefault="008942ED" w:rsidP="007929F6">
            <w:pPr>
              <w:snapToGrid w:val="0"/>
              <w:jc w:val="center"/>
              <w:rPr>
                <w:rFonts w:ascii="Arial" w:hAnsi="Arial" w:cs="Arial"/>
              </w:rPr>
            </w:pPr>
            <w:r w:rsidRPr="007929F6">
              <w:rPr>
                <w:rFonts w:ascii="Arial" w:hAnsi="Arial" w:cs="Arial"/>
              </w:rPr>
              <w:t>Total</w:t>
            </w:r>
          </w:p>
        </w:tc>
      </w:tr>
      <w:tr w:rsidR="008942ED" w:rsidRPr="007929F6" w:rsidTr="007929F6">
        <w:trPr>
          <w:trHeight w:val="425"/>
        </w:trPr>
        <w:tc>
          <w:tcPr>
            <w:tcW w:w="1546" w:type="pct"/>
            <w:vMerge/>
            <w:tcBorders>
              <w:top w:val="single" w:sz="4" w:space="0" w:color="000000"/>
              <w:bottom w:val="single" w:sz="4" w:space="0" w:color="000000"/>
            </w:tcBorders>
            <w:shd w:val="clear" w:color="auto" w:fill="auto"/>
            <w:vAlign w:val="center"/>
          </w:tcPr>
          <w:p w:rsidR="008942ED" w:rsidRPr="007929F6" w:rsidRDefault="008942ED" w:rsidP="007929F6">
            <w:pPr>
              <w:snapToGrid w:val="0"/>
              <w:jc w:val="center"/>
              <w:rPr>
                <w:rFonts w:ascii="Arial" w:hAnsi="Arial" w:cs="Arial"/>
                <w:vertAlign w:val="superscript"/>
              </w:rPr>
            </w:pPr>
          </w:p>
        </w:tc>
        <w:tc>
          <w:tcPr>
            <w:tcW w:w="1234" w:type="pct"/>
            <w:gridSpan w:val="2"/>
            <w:tcBorders>
              <w:top w:val="single" w:sz="4" w:space="0" w:color="000000"/>
              <w:bottom w:val="single" w:sz="4" w:space="0" w:color="000000"/>
            </w:tcBorders>
            <w:shd w:val="clear" w:color="auto" w:fill="auto"/>
            <w:vAlign w:val="center"/>
          </w:tcPr>
          <w:p w:rsidR="008942ED" w:rsidRPr="007929F6" w:rsidRDefault="008942ED" w:rsidP="007929F6">
            <w:pPr>
              <w:snapToGrid w:val="0"/>
              <w:jc w:val="center"/>
              <w:rPr>
                <w:rFonts w:ascii="Arial" w:hAnsi="Arial" w:cs="Arial"/>
              </w:rPr>
            </w:pPr>
            <w:r w:rsidRPr="007929F6">
              <w:rPr>
                <w:rFonts w:ascii="Arial" w:hAnsi="Arial" w:cs="Arial"/>
              </w:rPr>
              <w:t>Femenino</w:t>
            </w:r>
          </w:p>
        </w:tc>
        <w:tc>
          <w:tcPr>
            <w:tcW w:w="1234" w:type="pct"/>
            <w:gridSpan w:val="2"/>
            <w:tcBorders>
              <w:top w:val="single" w:sz="4" w:space="0" w:color="000000"/>
              <w:bottom w:val="single" w:sz="4" w:space="0" w:color="000000"/>
            </w:tcBorders>
            <w:shd w:val="clear" w:color="auto" w:fill="auto"/>
            <w:vAlign w:val="center"/>
          </w:tcPr>
          <w:p w:rsidR="008942ED" w:rsidRPr="007929F6" w:rsidRDefault="008942ED" w:rsidP="007929F6">
            <w:pPr>
              <w:snapToGrid w:val="0"/>
              <w:jc w:val="center"/>
              <w:rPr>
                <w:rFonts w:ascii="Arial" w:hAnsi="Arial" w:cs="Arial"/>
              </w:rPr>
            </w:pPr>
            <w:r w:rsidRPr="007929F6">
              <w:rPr>
                <w:rFonts w:ascii="Arial" w:hAnsi="Arial" w:cs="Arial"/>
              </w:rPr>
              <w:t>Masculino</w:t>
            </w:r>
          </w:p>
        </w:tc>
        <w:tc>
          <w:tcPr>
            <w:tcW w:w="987" w:type="pct"/>
            <w:gridSpan w:val="2"/>
            <w:vMerge/>
            <w:tcBorders>
              <w:top w:val="single" w:sz="4" w:space="0" w:color="000000"/>
              <w:bottom w:val="single" w:sz="4" w:space="0" w:color="000000"/>
            </w:tcBorders>
            <w:shd w:val="clear" w:color="auto" w:fill="auto"/>
            <w:vAlign w:val="center"/>
          </w:tcPr>
          <w:p w:rsidR="008942ED" w:rsidRPr="007929F6" w:rsidRDefault="008942ED" w:rsidP="007929F6">
            <w:pPr>
              <w:snapToGrid w:val="0"/>
              <w:jc w:val="center"/>
              <w:rPr>
                <w:rFonts w:ascii="Arial" w:hAnsi="Arial" w:cs="Arial"/>
                <w:vertAlign w:val="superscript"/>
              </w:rPr>
            </w:pPr>
          </w:p>
        </w:tc>
      </w:tr>
      <w:tr w:rsidR="00EF44B3" w:rsidRPr="007929F6" w:rsidTr="007929F6">
        <w:trPr>
          <w:trHeight w:val="336"/>
        </w:trPr>
        <w:tc>
          <w:tcPr>
            <w:tcW w:w="1546" w:type="pct"/>
            <w:vMerge/>
            <w:tcBorders>
              <w:top w:val="single" w:sz="4" w:space="0" w:color="000000"/>
              <w:bottom w:val="single" w:sz="4" w:space="0" w:color="000000"/>
            </w:tcBorders>
            <w:shd w:val="clear" w:color="auto" w:fill="auto"/>
            <w:vAlign w:val="center"/>
          </w:tcPr>
          <w:p w:rsidR="008942ED" w:rsidRPr="007929F6" w:rsidRDefault="008942ED" w:rsidP="007929F6">
            <w:pPr>
              <w:snapToGrid w:val="0"/>
              <w:jc w:val="center"/>
              <w:rPr>
                <w:rFonts w:ascii="Arial" w:hAnsi="Arial" w:cs="Arial"/>
                <w:vertAlign w:val="superscript"/>
              </w:rPr>
            </w:pPr>
          </w:p>
        </w:tc>
        <w:tc>
          <w:tcPr>
            <w:tcW w:w="740" w:type="pct"/>
            <w:tcBorders>
              <w:top w:val="single" w:sz="4" w:space="0" w:color="000000"/>
              <w:bottom w:val="single" w:sz="4" w:space="0" w:color="000000"/>
            </w:tcBorders>
            <w:shd w:val="clear" w:color="auto" w:fill="auto"/>
            <w:vAlign w:val="center"/>
          </w:tcPr>
          <w:p w:rsidR="008942ED" w:rsidRPr="007929F6" w:rsidRDefault="008942ED" w:rsidP="007929F6">
            <w:pPr>
              <w:snapToGrid w:val="0"/>
              <w:jc w:val="center"/>
              <w:rPr>
                <w:rFonts w:ascii="Arial" w:hAnsi="Arial" w:cs="Arial"/>
              </w:rPr>
            </w:pPr>
            <w:r w:rsidRPr="007929F6">
              <w:rPr>
                <w:rFonts w:ascii="Arial" w:hAnsi="Arial" w:cs="Arial"/>
              </w:rPr>
              <w:t>No.</w:t>
            </w:r>
          </w:p>
        </w:tc>
        <w:tc>
          <w:tcPr>
            <w:tcW w:w="494" w:type="pct"/>
            <w:tcBorders>
              <w:top w:val="single" w:sz="4" w:space="0" w:color="000000"/>
              <w:bottom w:val="single" w:sz="4" w:space="0" w:color="000000"/>
            </w:tcBorders>
            <w:shd w:val="clear" w:color="auto" w:fill="auto"/>
            <w:vAlign w:val="center"/>
          </w:tcPr>
          <w:p w:rsidR="008942ED" w:rsidRPr="007929F6" w:rsidRDefault="008942ED" w:rsidP="007929F6">
            <w:pPr>
              <w:snapToGrid w:val="0"/>
              <w:jc w:val="center"/>
              <w:rPr>
                <w:rFonts w:ascii="Arial" w:hAnsi="Arial" w:cs="Arial"/>
              </w:rPr>
            </w:pPr>
            <w:r w:rsidRPr="007929F6">
              <w:rPr>
                <w:rFonts w:ascii="Arial" w:hAnsi="Arial" w:cs="Arial"/>
              </w:rPr>
              <w:t>%</w:t>
            </w:r>
          </w:p>
        </w:tc>
        <w:tc>
          <w:tcPr>
            <w:tcW w:w="740" w:type="pct"/>
            <w:tcBorders>
              <w:top w:val="single" w:sz="4" w:space="0" w:color="000000"/>
              <w:bottom w:val="single" w:sz="4" w:space="0" w:color="000000"/>
            </w:tcBorders>
            <w:shd w:val="clear" w:color="auto" w:fill="auto"/>
            <w:vAlign w:val="center"/>
          </w:tcPr>
          <w:p w:rsidR="008942ED" w:rsidRPr="007929F6" w:rsidRDefault="008942ED" w:rsidP="007929F6">
            <w:pPr>
              <w:snapToGrid w:val="0"/>
              <w:jc w:val="center"/>
              <w:rPr>
                <w:rFonts w:ascii="Arial" w:hAnsi="Arial" w:cs="Arial"/>
              </w:rPr>
            </w:pPr>
            <w:r w:rsidRPr="007929F6">
              <w:rPr>
                <w:rFonts w:ascii="Arial" w:hAnsi="Arial" w:cs="Arial"/>
              </w:rPr>
              <w:t>No</w:t>
            </w:r>
          </w:p>
        </w:tc>
        <w:tc>
          <w:tcPr>
            <w:tcW w:w="494" w:type="pct"/>
            <w:tcBorders>
              <w:top w:val="single" w:sz="4" w:space="0" w:color="000000"/>
              <w:bottom w:val="single" w:sz="4" w:space="0" w:color="000000"/>
            </w:tcBorders>
            <w:shd w:val="clear" w:color="auto" w:fill="auto"/>
            <w:vAlign w:val="center"/>
          </w:tcPr>
          <w:p w:rsidR="008942ED" w:rsidRPr="007929F6" w:rsidRDefault="008942ED" w:rsidP="007929F6">
            <w:pPr>
              <w:snapToGrid w:val="0"/>
              <w:jc w:val="center"/>
              <w:rPr>
                <w:rFonts w:ascii="Arial" w:hAnsi="Arial" w:cs="Arial"/>
              </w:rPr>
            </w:pPr>
            <w:r w:rsidRPr="007929F6">
              <w:rPr>
                <w:rFonts w:ascii="Arial" w:hAnsi="Arial" w:cs="Arial"/>
              </w:rPr>
              <w:t>%.</w:t>
            </w:r>
          </w:p>
        </w:tc>
        <w:tc>
          <w:tcPr>
            <w:tcW w:w="494" w:type="pct"/>
            <w:tcBorders>
              <w:top w:val="single" w:sz="4" w:space="0" w:color="000000"/>
              <w:bottom w:val="single" w:sz="4" w:space="0" w:color="000000"/>
            </w:tcBorders>
            <w:shd w:val="clear" w:color="auto" w:fill="auto"/>
            <w:vAlign w:val="center"/>
          </w:tcPr>
          <w:p w:rsidR="008942ED" w:rsidRPr="007929F6" w:rsidRDefault="008942ED" w:rsidP="007929F6">
            <w:pPr>
              <w:snapToGrid w:val="0"/>
              <w:jc w:val="center"/>
              <w:rPr>
                <w:rFonts w:ascii="Arial" w:hAnsi="Arial" w:cs="Arial"/>
              </w:rPr>
            </w:pPr>
            <w:r w:rsidRPr="007929F6">
              <w:rPr>
                <w:rFonts w:ascii="Arial" w:hAnsi="Arial" w:cs="Arial"/>
              </w:rPr>
              <w:t>No.</w:t>
            </w:r>
          </w:p>
        </w:tc>
        <w:tc>
          <w:tcPr>
            <w:tcW w:w="493" w:type="pct"/>
            <w:tcBorders>
              <w:top w:val="single" w:sz="4" w:space="0" w:color="000000"/>
              <w:bottom w:val="single" w:sz="4" w:space="0" w:color="000000"/>
            </w:tcBorders>
            <w:shd w:val="clear" w:color="auto" w:fill="auto"/>
            <w:vAlign w:val="center"/>
          </w:tcPr>
          <w:p w:rsidR="008942ED" w:rsidRPr="007929F6" w:rsidRDefault="008942ED" w:rsidP="007929F6">
            <w:pPr>
              <w:snapToGrid w:val="0"/>
              <w:jc w:val="center"/>
              <w:rPr>
                <w:rFonts w:ascii="Arial" w:hAnsi="Arial" w:cs="Arial"/>
              </w:rPr>
            </w:pPr>
            <w:r w:rsidRPr="007929F6">
              <w:rPr>
                <w:rFonts w:ascii="Arial" w:hAnsi="Arial" w:cs="Arial"/>
              </w:rPr>
              <w:t>%.</w:t>
            </w:r>
          </w:p>
        </w:tc>
      </w:tr>
      <w:tr w:rsidR="007106A5" w:rsidRPr="007929F6" w:rsidTr="007929F6">
        <w:trPr>
          <w:trHeight w:val="336"/>
        </w:trPr>
        <w:tc>
          <w:tcPr>
            <w:tcW w:w="1546" w:type="pct"/>
            <w:tcBorders>
              <w:top w:val="single" w:sz="4" w:space="0" w:color="000000"/>
              <w:bottom w:val="single" w:sz="4" w:space="0" w:color="000000"/>
            </w:tcBorders>
            <w:shd w:val="clear" w:color="auto" w:fill="auto"/>
            <w:vAlign w:val="center"/>
          </w:tcPr>
          <w:p w:rsidR="007106A5" w:rsidRPr="007929F6" w:rsidRDefault="007106A5" w:rsidP="007929F6">
            <w:pPr>
              <w:snapToGrid w:val="0"/>
              <w:jc w:val="center"/>
              <w:rPr>
                <w:rFonts w:ascii="Arial" w:hAnsi="Arial" w:cs="Arial"/>
              </w:rPr>
            </w:pPr>
            <w:r w:rsidRPr="007929F6">
              <w:rPr>
                <w:rFonts w:ascii="Arial" w:hAnsi="Arial" w:cs="Arial"/>
              </w:rPr>
              <w:t>Aceptable</w:t>
            </w:r>
          </w:p>
        </w:tc>
        <w:tc>
          <w:tcPr>
            <w:tcW w:w="740" w:type="pct"/>
            <w:tcBorders>
              <w:top w:val="single" w:sz="4" w:space="0" w:color="000000"/>
              <w:bottom w:val="single" w:sz="4" w:space="0" w:color="000000"/>
            </w:tcBorders>
            <w:shd w:val="clear" w:color="auto" w:fill="auto"/>
            <w:vAlign w:val="center"/>
          </w:tcPr>
          <w:p w:rsidR="007106A5" w:rsidRPr="007929F6" w:rsidRDefault="007106A5" w:rsidP="007929F6">
            <w:pPr>
              <w:suppressAutoHyphens w:val="0"/>
              <w:jc w:val="center"/>
              <w:rPr>
                <w:rFonts w:ascii="Arial" w:hAnsi="Arial" w:cs="Arial"/>
                <w:color w:val="000000"/>
                <w:lang w:val="es-VE" w:eastAsia="es-VE"/>
              </w:rPr>
            </w:pPr>
            <w:r w:rsidRPr="007929F6">
              <w:rPr>
                <w:rFonts w:ascii="Arial" w:hAnsi="Arial" w:cs="Arial"/>
                <w:color w:val="000000"/>
              </w:rPr>
              <w:t>14</w:t>
            </w:r>
          </w:p>
        </w:tc>
        <w:tc>
          <w:tcPr>
            <w:tcW w:w="494" w:type="pct"/>
            <w:tcBorders>
              <w:top w:val="single" w:sz="4" w:space="0" w:color="000000"/>
              <w:bottom w:val="single" w:sz="4" w:space="0" w:color="000000"/>
            </w:tcBorders>
            <w:shd w:val="clear" w:color="auto" w:fill="auto"/>
            <w:vAlign w:val="center"/>
          </w:tcPr>
          <w:p w:rsidR="007106A5" w:rsidRPr="007929F6" w:rsidRDefault="007106A5" w:rsidP="007929F6">
            <w:pPr>
              <w:jc w:val="center"/>
              <w:rPr>
                <w:rFonts w:ascii="Arial" w:hAnsi="Arial" w:cs="Arial"/>
                <w:color w:val="000000"/>
              </w:rPr>
            </w:pPr>
            <w:r w:rsidRPr="007929F6">
              <w:rPr>
                <w:rFonts w:ascii="Arial" w:hAnsi="Arial" w:cs="Arial"/>
                <w:color w:val="000000"/>
              </w:rPr>
              <w:t>82,4</w:t>
            </w:r>
          </w:p>
        </w:tc>
        <w:tc>
          <w:tcPr>
            <w:tcW w:w="740" w:type="pct"/>
            <w:tcBorders>
              <w:top w:val="single" w:sz="4" w:space="0" w:color="000000"/>
              <w:bottom w:val="single" w:sz="4" w:space="0" w:color="000000"/>
            </w:tcBorders>
            <w:shd w:val="clear" w:color="auto" w:fill="auto"/>
            <w:vAlign w:val="center"/>
          </w:tcPr>
          <w:p w:rsidR="007106A5" w:rsidRPr="007929F6" w:rsidRDefault="007106A5" w:rsidP="007929F6">
            <w:pPr>
              <w:jc w:val="center"/>
              <w:rPr>
                <w:rFonts w:ascii="Arial" w:hAnsi="Arial" w:cs="Arial"/>
                <w:color w:val="000000"/>
              </w:rPr>
            </w:pPr>
            <w:r w:rsidRPr="007929F6">
              <w:rPr>
                <w:rFonts w:ascii="Arial" w:hAnsi="Arial" w:cs="Arial"/>
                <w:color w:val="000000"/>
              </w:rPr>
              <w:t>15</w:t>
            </w:r>
          </w:p>
        </w:tc>
        <w:tc>
          <w:tcPr>
            <w:tcW w:w="494" w:type="pct"/>
            <w:tcBorders>
              <w:top w:val="single" w:sz="4" w:space="0" w:color="000000"/>
              <w:bottom w:val="single" w:sz="4" w:space="0" w:color="000000"/>
            </w:tcBorders>
            <w:shd w:val="clear" w:color="auto" w:fill="auto"/>
            <w:vAlign w:val="center"/>
          </w:tcPr>
          <w:p w:rsidR="007106A5" w:rsidRPr="007929F6" w:rsidRDefault="007106A5" w:rsidP="007929F6">
            <w:pPr>
              <w:jc w:val="center"/>
              <w:rPr>
                <w:rFonts w:ascii="Arial" w:hAnsi="Arial" w:cs="Arial"/>
                <w:color w:val="000000"/>
              </w:rPr>
            </w:pPr>
            <w:r w:rsidRPr="007929F6">
              <w:rPr>
                <w:rFonts w:ascii="Arial" w:hAnsi="Arial" w:cs="Arial"/>
                <w:color w:val="000000"/>
              </w:rPr>
              <w:t>65,2</w:t>
            </w:r>
          </w:p>
        </w:tc>
        <w:tc>
          <w:tcPr>
            <w:tcW w:w="494" w:type="pct"/>
            <w:tcBorders>
              <w:top w:val="single" w:sz="4" w:space="0" w:color="000000"/>
              <w:bottom w:val="single" w:sz="4" w:space="0" w:color="000000"/>
            </w:tcBorders>
            <w:shd w:val="clear" w:color="auto" w:fill="auto"/>
            <w:vAlign w:val="center"/>
          </w:tcPr>
          <w:p w:rsidR="007106A5" w:rsidRPr="007929F6" w:rsidRDefault="007106A5" w:rsidP="007929F6">
            <w:pPr>
              <w:jc w:val="center"/>
              <w:rPr>
                <w:rFonts w:ascii="Arial" w:hAnsi="Arial" w:cs="Arial"/>
                <w:color w:val="000000"/>
              </w:rPr>
            </w:pPr>
            <w:r w:rsidRPr="007929F6">
              <w:rPr>
                <w:rFonts w:ascii="Arial" w:hAnsi="Arial" w:cs="Arial"/>
                <w:color w:val="000000"/>
              </w:rPr>
              <w:t>29</w:t>
            </w:r>
          </w:p>
        </w:tc>
        <w:tc>
          <w:tcPr>
            <w:tcW w:w="493" w:type="pct"/>
            <w:tcBorders>
              <w:top w:val="single" w:sz="4" w:space="0" w:color="000000"/>
              <w:bottom w:val="single" w:sz="4" w:space="0" w:color="000000"/>
            </w:tcBorders>
            <w:shd w:val="clear" w:color="auto" w:fill="auto"/>
            <w:vAlign w:val="center"/>
          </w:tcPr>
          <w:p w:rsidR="007106A5" w:rsidRPr="007929F6" w:rsidRDefault="007106A5" w:rsidP="007929F6">
            <w:pPr>
              <w:jc w:val="center"/>
              <w:rPr>
                <w:rFonts w:ascii="Arial" w:hAnsi="Arial" w:cs="Arial"/>
                <w:color w:val="000000"/>
              </w:rPr>
            </w:pPr>
            <w:r w:rsidRPr="007929F6">
              <w:rPr>
                <w:rFonts w:ascii="Arial" w:hAnsi="Arial" w:cs="Arial"/>
                <w:color w:val="000000"/>
              </w:rPr>
              <w:t>72,5</w:t>
            </w:r>
          </w:p>
        </w:tc>
      </w:tr>
      <w:tr w:rsidR="007106A5" w:rsidRPr="007929F6" w:rsidTr="007929F6">
        <w:trPr>
          <w:trHeight w:val="336"/>
        </w:trPr>
        <w:tc>
          <w:tcPr>
            <w:tcW w:w="1546" w:type="pct"/>
            <w:tcBorders>
              <w:top w:val="single" w:sz="4" w:space="0" w:color="000000"/>
              <w:bottom w:val="single" w:sz="4" w:space="0" w:color="000000"/>
            </w:tcBorders>
            <w:shd w:val="clear" w:color="auto" w:fill="auto"/>
            <w:vAlign w:val="center"/>
          </w:tcPr>
          <w:p w:rsidR="007106A5" w:rsidRPr="007929F6" w:rsidRDefault="007106A5" w:rsidP="007929F6">
            <w:pPr>
              <w:snapToGrid w:val="0"/>
              <w:jc w:val="center"/>
              <w:rPr>
                <w:rFonts w:ascii="Arial" w:hAnsi="Arial" w:cs="Arial"/>
              </w:rPr>
            </w:pPr>
            <w:r w:rsidRPr="007929F6">
              <w:rPr>
                <w:rFonts w:ascii="Arial" w:hAnsi="Arial" w:cs="Arial"/>
              </w:rPr>
              <w:t>Deficiente</w:t>
            </w:r>
          </w:p>
        </w:tc>
        <w:tc>
          <w:tcPr>
            <w:tcW w:w="740" w:type="pct"/>
            <w:tcBorders>
              <w:top w:val="single" w:sz="4" w:space="0" w:color="000000"/>
              <w:bottom w:val="single" w:sz="4" w:space="0" w:color="000000"/>
            </w:tcBorders>
            <w:shd w:val="clear" w:color="auto" w:fill="auto"/>
            <w:vAlign w:val="center"/>
          </w:tcPr>
          <w:p w:rsidR="007106A5" w:rsidRPr="007929F6" w:rsidRDefault="007106A5" w:rsidP="007929F6">
            <w:pPr>
              <w:jc w:val="center"/>
              <w:rPr>
                <w:rFonts w:ascii="Arial" w:hAnsi="Arial" w:cs="Arial"/>
                <w:color w:val="000000"/>
              </w:rPr>
            </w:pPr>
            <w:r w:rsidRPr="007929F6">
              <w:rPr>
                <w:rFonts w:ascii="Arial" w:hAnsi="Arial" w:cs="Arial"/>
                <w:color w:val="000000"/>
              </w:rPr>
              <w:t>3</w:t>
            </w:r>
          </w:p>
        </w:tc>
        <w:tc>
          <w:tcPr>
            <w:tcW w:w="494" w:type="pct"/>
            <w:tcBorders>
              <w:top w:val="single" w:sz="4" w:space="0" w:color="000000"/>
              <w:bottom w:val="single" w:sz="4" w:space="0" w:color="000000"/>
            </w:tcBorders>
            <w:shd w:val="clear" w:color="auto" w:fill="auto"/>
            <w:vAlign w:val="center"/>
          </w:tcPr>
          <w:p w:rsidR="007106A5" w:rsidRPr="007929F6" w:rsidRDefault="007106A5" w:rsidP="007929F6">
            <w:pPr>
              <w:jc w:val="center"/>
              <w:rPr>
                <w:rFonts w:ascii="Arial" w:hAnsi="Arial" w:cs="Arial"/>
                <w:color w:val="000000"/>
              </w:rPr>
            </w:pPr>
            <w:r w:rsidRPr="007929F6">
              <w:rPr>
                <w:rFonts w:ascii="Arial" w:hAnsi="Arial" w:cs="Arial"/>
                <w:color w:val="000000"/>
              </w:rPr>
              <w:t>17,6</w:t>
            </w:r>
          </w:p>
        </w:tc>
        <w:tc>
          <w:tcPr>
            <w:tcW w:w="740" w:type="pct"/>
            <w:tcBorders>
              <w:top w:val="single" w:sz="4" w:space="0" w:color="000000"/>
              <w:bottom w:val="single" w:sz="4" w:space="0" w:color="000000"/>
            </w:tcBorders>
            <w:shd w:val="clear" w:color="auto" w:fill="auto"/>
            <w:vAlign w:val="center"/>
          </w:tcPr>
          <w:p w:rsidR="007106A5" w:rsidRPr="007929F6" w:rsidRDefault="007106A5" w:rsidP="007929F6">
            <w:pPr>
              <w:jc w:val="center"/>
              <w:rPr>
                <w:rFonts w:ascii="Arial" w:hAnsi="Arial" w:cs="Arial"/>
                <w:color w:val="000000"/>
              </w:rPr>
            </w:pPr>
            <w:r w:rsidRPr="007929F6">
              <w:rPr>
                <w:rFonts w:ascii="Arial" w:hAnsi="Arial" w:cs="Arial"/>
                <w:color w:val="000000"/>
              </w:rPr>
              <w:t>8</w:t>
            </w:r>
          </w:p>
        </w:tc>
        <w:tc>
          <w:tcPr>
            <w:tcW w:w="494" w:type="pct"/>
            <w:tcBorders>
              <w:top w:val="single" w:sz="4" w:space="0" w:color="000000"/>
              <w:bottom w:val="single" w:sz="4" w:space="0" w:color="000000"/>
            </w:tcBorders>
            <w:shd w:val="clear" w:color="auto" w:fill="auto"/>
            <w:vAlign w:val="center"/>
          </w:tcPr>
          <w:p w:rsidR="007106A5" w:rsidRPr="007929F6" w:rsidRDefault="007106A5" w:rsidP="007929F6">
            <w:pPr>
              <w:jc w:val="center"/>
              <w:rPr>
                <w:rFonts w:ascii="Arial" w:hAnsi="Arial" w:cs="Arial"/>
                <w:color w:val="000000"/>
              </w:rPr>
            </w:pPr>
            <w:r w:rsidRPr="007929F6">
              <w:rPr>
                <w:rFonts w:ascii="Arial" w:hAnsi="Arial" w:cs="Arial"/>
                <w:color w:val="000000"/>
              </w:rPr>
              <w:t>34,8</w:t>
            </w:r>
          </w:p>
        </w:tc>
        <w:tc>
          <w:tcPr>
            <w:tcW w:w="494" w:type="pct"/>
            <w:tcBorders>
              <w:top w:val="single" w:sz="4" w:space="0" w:color="000000"/>
              <w:bottom w:val="single" w:sz="4" w:space="0" w:color="000000"/>
            </w:tcBorders>
            <w:shd w:val="clear" w:color="auto" w:fill="auto"/>
            <w:vAlign w:val="center"/>
          </w:tcPr>
          <w:p w:rsidR="007106A5" w:rsidRPr="007929F6" w:rsidRDefault="007106A5" w:rsidP="007929F6">
            <w:pPr>
              <w:jc w:val="center"/>
              <w:rPr>
                <w:rFonts w:ascii="Arial" w:hAnsi="Arial" w:cs="Arial"/>
                <w:color w:val="000000"/>
              </w:rPr>
            </w:pPr>
            <w:r w:rsidRPr="007929F6">
              <w:rPr>
                <w:rFonts w:ascii="Arial" w:hAnsi="Arial" w:cs="Arial"/>
                <w:color w:val="000000"/>
              </w:rPr>
              <w:t>11</w:t>
            </w:r>
          </w:p>
        </w:tc>
        <w:tc>
          <w:tcPr>
            <w:tcW w:w="493" w:type="pct"/>
            <w:tcBorders>
              <w:top w:val="single" w:sz="4" w:space="0" w:color="000000"/>
              <w:bottom w:val="single" w:sz="4" w:space="0" w:color="000000"/>
            </w:tcBorders>
            <w:shd w:val="clear" w:color="auto" w:fill="auto"/>
            <w:vAlign w:val="center"/>
          </w:tcPr>
          <w:p w:rsidR="007106A5" w:rsidRPr="007929F6" w:rsidRDefault="007106A5" w:rsidP="007929F6">
            <w:pPr>
              <w:jc w:val="center"/>
              <w:rPr>
                <w:rFonts w:ascii="Arial" w:hAnsi="Arial" w:cs="Arial"/>
                <w:color w:val="000000"/>
              </w:rPr>
            </w:pPr>
            <w:r w:rsidRPr="007929F6">
              <w:rPr>
                <w:rFonts w:ascii="Arial" w:hAnsi="Arial" w:cs="Arial"/>
                <w:color w:val="000000"/>
              </w:rPr>
              <w:t>27,5</w:t>
            </w:r>
          </w:p>
        </w:tc>
      </w:tr>
      <w:tr w:rsidR="007106A5" w:rsidRPr="007929F6" w:rsidTr="007929F6">
        <w:trPr>
          <w:trHeight w:val="336"/>
        </w:trPr>
        <w:tc>
          <w:tcPr>
            <w:tcW w:w="1546" w:type="pct"/>
            <w:tcBorders>
              <w:top w:val="single" w:sz="4" w:space="0" w:color="000000"/>
              <w:bottom w:val="single" w:sz="4" w:space="0" w:color="000000"/>
            </w:tcBorders>
            <w:shd w:val="clear" w:color="auto" w:fill="auto"/>
            <w:vAlign w:val="center"/>
          </w:tcPr>
          <w:p w:rsidR="007106A5" w:rsidRPr="007929F6" w:rsidRDefault="007106A5" w:rsidP="007929F6">
            <w:pPr>
              <w:snapToGrid w:val="0"/>
              <w:jc w:val="center"/>
              <w:rPr>
                <w:rFonts w:ascii="Arial" w:hAnsi="Arial" w:cs="Arial"/>
              </w:rPr>
            </w:pPr>
            <w:r w:rsidRPr="007929F6">
              <w:rPr>
                <w:rFonts w:ascii="Arial" w:hAnsi="Arial" w:cs="Arial"/>
              </w:rPr>
              <w:t xml:space="preserve">Total </w:t>
            </w:r>
          </w:p>
        </w:tc>
        <w:tc>
          <w:tcPr>
            <w:tcW w:w="740" w:type="pct"/>
            <w:tcBorders>
              <w:top w:val="single" w:sz="4" w:space="0" w:color="000000"/>
              <w:bottom w:val="single" w:sz="4" w:space="0" w:color="000000"/>
            </w:tcBorders>
            <w:shd w:val="clear" w:color="auto" w:fill="auto"/>
            <w:vAlign w:val="center"/>
          </w:tcPr>
          <w:p w:rsidR="007106A5" w:rsidRPr="007929F6" w:rsidRDefault="007106A5" w:rsidP="007929F6">
            <w:pPr>
              <w:jc w:val="center"/>
              <w:rPr>
                <w:rFonts w:ascii="Arial" w:hAnsi="Arial" w:cs="Arial"/>
                <w:color w:val="000000"/>
              </w:rPr>
            </w:pPr>
            <w:r w:rsidRPr="007929F6">
              <w:rPr>
                <w:rFonts w:ascii="Arial" w:hAnsi="Arial" w:cs="Arial"/>
                <w:color w:val="000000"/>
              </w:rPr>
              <w:t>17</w:t>
            </w:r>
          </w:p>
        </w:tc>
        <w:tc>
          <w:tcPr>
            <w:tcW w:w="494" w:type="pct"/>
            <w:tcBorders>
              <w:top w:val="single" w:sz="4" w:space="0" w:color="000000"/>
              <w:bottom w:val="single" w:sz="4" w:space="0" w:color="000000"/>
            </w:tcBorders>
            <w:shd w:val="clear" w:color="auto" w:fill="auto"/>
            <w:vAlign w:val="center"/>
          </w:tcPr>
          <w:p w:rsidR="007106A5" w:rsidRPr="007929F6" w:rsidRDefault="007106A5" w:rsidP="007929F6">
            <w:pPr>
              <w:jc w:val="center"/>
              <w:rPr>
                <w:rFonts w:ascii="Arial" w:hAnsi="Arial" w:cs="Arial"/>
                <w:color w:val="000000"/>
              </w:rPr>
            </w:pPr>
            <w:r w:rsidRPr="007929F6">
              <w:rPr>
                <w:rFonts w:ascii="Arial" w:hAnsi="Arial" w:cs="Arial"/>
                <w:color w:val="000000"/>
              </w:rPr>
              <w:t>42,5</w:t>
            </w:r>
          </w:p>
        </w:tc>
        <w:tc>
          <w:tcPr>
            <w:tcW w:w="740" w:type="pct"/>
            <w:tcBorders>
              <w:top w:val="single" w:sz="4" w:space="0" w:color="000000"/>
              <w:bottom w:val="single" w:sz="4" w:space="0" w:color="000000"/>
            </w:tcBorders>
            <w:shd w:val="clear" w:color="auto" w:fill="auto"/>
            <w:vAlign w:val="center"/>
          </w:tcPr>
          <w:p w:rsidR="007106A5" w:rsidRPr="007929F6" w:rsidRDefault="007106A5" w:rsidP="007929F6">
            <w:pPr>
              <w:jc w:val="center"/>
              <w:rPr>
                <w:rFonts w:ascii="Arial" w:hAnsi="Arial" w:cs="Arial"/>
                <w:color w:val="000000"/>
              </w:rPr>
            </w:pPr>
            <w:r w:rsidRPr="007929F6">
              <w:rPr>
                <w:rFonts w:ascii="Arial" w:hAnsi="Arial" w:cs="Arial"/>
                <w:color w:val="000000"/>
              </w:rPr>
              <w:t>23</w:t>
            </w:r>
          </w:p>
        </w:tc>
        <w:tc>
          <w:tcPr>
            <w:tcW w:w="494" w:type="pct"/>
            <w:tcBorders>
              <w:top w:val="single" w:sz="4" w:space="0" w:color="000000"/>
              <w:bottom w:val="single" w:sz="4" w:space="0" w:color="000000"/>
            </w:tcBorders>
            <w:shd w:val="clear" w:color="auto" w:fill="auto"/>
            <w:vAlign w:val="center"/>
          </w:tcPr>
          <w:p w:rsidR="007106A5" w:rsidRPr="007929F6" w:rsidRDefault="007106A5" w:rsidP="007929F6">
            <w:pPr>
              <w:jc w:val="center"/>
              <w:rPr>
                <w:rFonts w:ascii="Arial" w:hAnsi="Arial" w:cs="Arial"/>
                <w:color w:val="000000"/>
              </w:rPr>
            </w:pPr>
            <w:r w:rsidRPr="007929F6">
              <w:rPr>
                <w:rFonts w:ascii="Arial" w:hAnsi="Arial" w:cs="Arial"/>
                <w:color w:val="000000"/>
              </w:rPr>
              <w:t>57,5</w:t>
            </w:r>
          </w:p>
        </w:tc>
        <w:tc>
          <w:tcPr>
            <w:tcW w:w="494" w:type="pct"/>
            <w:tcBorders>
              <w:top w:val="single" w:sz="4" w:space="0" w:color="000000"/>
              <w:bottom w:val="single" w:sz="4" w:space="0" w:color="000000"/>
            </w:tcBorders>
            <w:shd w:val="clear" w:color="auto" w:fill="auto"/>
            <w:vAlign w:val="center"/>
          </w:tcPr>
          <w:p w:rsidR="007106A5" w:rsidRPr="007929F6" w:rsidRDefault="007106A5" w:rsidP="007929F6">
            <w:pPr>
              <w:jc w:val="center"/>
              <w:rPr>
                <w:rFonts w:ascii="Arial" w:hAnsi="Arial" w:cs="Arial"/>
                <w:color w:val="000000"/>
              </w:rPr>
            </w:pPr>
            <w:r w:rsidRPr="007929F6">
              <w:rPr>
                <w:rFonts w:ascii="Arial" w:hAnsi="Arial" w:cs="Arial"/>
                <w:color w:val="000000"/>
              </w:rPr>
              <w:t>40</w:t>
            </w:r>
          </w:p>
        </w:tc>
        <w:tc>
          <w:tcPr>
            <w:tcW w:w="493" w:type="pct"/>
            <w:tcBorders>
              <w:top w:val="single" w:sz="4" w:space="0" w:color="000000"/>
              <w:bottom w:val="single" w:sz="4" w:space="0" w:color="000000"/>
            </w:tcBorders>
            <w:shd w:val="clear" w:color="auto" w:fill="auto"/>
            <w:vAlign w:val="center"/>
          </w:tcPr>
          <w:p w:rsidR="007106A5" w:rsidRPr="007929F6" w:rsidRDefault="007106A5" w:rsidP="007929F6">
            <w:pPr>
              <w:jc w:val="center"/>
              <w:rPr>
                <w:rFonts w:ascii="Arial" w:hAnsi="Arial" w:cs="Arial"/>
                <w:color w:val="000000"/>
              </w:rPr>
            </w:pPr>
            <w:r w:rsidRPr="007929F6">
              <w:rPr>
                <w:rFonts w:ascii="Arial" w:hAnsi="Arial" w:cs="Arial"/>
                <w:color w:val="000000"/>
              </w:rPr>
              <w:t>100</w:t>
            </w:r>
          </w:p>
        </w:tc>
      </w:tr>
    </w:tbl>
    <w:p w:rsidR="008942ED" w:rsidRPr="00EA0066" w:rsidRDefault="008942ED" w:rsidP="007929F6">
      <w:pPr>
        <w:spacing w:before="240"/>
        <w:jc w:val="both"/>
        <w:rPr>
          <w:rFonts w:ascii="Arial" w:hAnsi="Arial" w:cs="Arial"/>
          <w:color w:val="000000"/>
        </w:rPr>
      </w:pPr>
      <w:r w:rsidRPr="00EA0066">
        <w:rPr>
          <w:rFonts w:ascii="Arial" w:hAnsi="Arial" w:cs="Arial"/>
          <w:color w:val="000000"/>
        </w:rPr>
        <w:t xml:space="preserve">La tabla </w:t>
      </w:r>
      <w:r w:rsidR="00D91174" w:rsidRPr="00EA0066">
        <w:rPr>
          <w:rFonts w:ascii="Arial" w:hAnsi="Arial" w:cs="Arial"/>
          <w:color w:val="000000"/>
        </w:rPr>
        <w:t>4</w:t>
      </w:r>
      <w:r w:rsidRPr="00EA0066">
        <w:rPr>
          <w:rFonts w:ascii="Arial" w:hAnsi="Arial" w:cs="Arial"/>
          <w:color w:val="000000"/>
        </w:rPr>
        <w:t xml:space="preserve"> nos muestra el estado de los dientes según presencia de caries y </w:t>
      </w:r>
      <w:r w:rsidR="00EF44B3" w:rsidRPr="00EA0066">
        <w:rPr>
          <w:rFonts w:ascii="Arial" w:hAnsi="Arial" w:cs="Arial"/>
          <w:color w:val="000000"/>
        </w:rPr>
        <w:t xml:space="preserve">movilidad por </w:t>
      </w:r>
      <w:r w:rsidRPr="00EA0066">
        <w:rPr>
          <w:rFonts w:ascii="Arial" w:hAnsi="Arial" w:cs="Arial"/>
          <w:color w:val="000000"/>
        </w:rPr>
        <w:t xml:space="preserve">periodontopatías de la población adulto mayor </w:t>
      </w:r>
      <w:r w:rsidR="00EF44B3" w:rsidRPr="00EA0066">
        <w:rPr>
          <w:rFonts w:ascii="Arial" w:hAnsi="Arial" w:cs="Arial"/>
          <w:color w:val="000000"/>
        </w:rPr>
        <w:t xml:space="preserve">observándose </w:t>
      </w:r>
      <w:r w:rsidR="00F20715" w:rsidRPr="00EA0066">
        <w:rPr>
          <w:rFonts w:ascii="Arial" w:hAnsi="Arial" w:cs="Arial"/>
          <w:color w:val="000000"/>
        </w:rPr>
        <w:t xml:space="preserve">con mayor frecuencia un </w:t>
      </w:r>
      <w:r w:rsidR="007106A5" w:rsidRPr="00EA0066">
        <w:rPr>
          <w:rFonts w:ascii="Arial" w:hAnsi="Arial" w:cs="Arial"/>
          <w:color w:val="000000"/>
        </w:rPr>
        <w:t>aceptable</w:t>
      </w:r>
      <w:r w:rsidR="00F20715" w:rsidRPr="00EA0066">
        <w:rPr>
          <w:rFonts w:ascii="Arial" w:hAnsi="Arial" w:cs="Arial"/>
          <w:color w:val="000000"/>
        </w:rPr>
        <w:t xml:space="preserve"> estado de los dientes, con 2</w:t>
      </w:r>
      <w:r w:rsidR="007106A5" w:rsidRPr="00EA0066">
        <w:rPr>
          <w:rFonts w:ascii="Arial" w:hAnsi="Arial" w:cs="Arial"/>
          <w:color w:val="000000"/>
        </w:rPr>
        <w:t>9</w:t>
      </w:r>
      <w:r w:rsidR="00F20715" w:rsidRPr="00EA0066">
        <w:rPr>
          <w:rFonts w:ascii="Arial" w:hAnsi="Arial" w:cs="Arial"/>
          <w:color w:val="000000"/>
        </w:rPr>
        <w:t xml:space="preserve"> pacientes para el </w:t>
      </w:r>
      <w:r w:rsidR="007106A5" w:rsidRPr="00EA0066">
        <w:rPr>
          <w:rFonts w:ascii="Arial" w:hAnsi="Arial" w:cs="Arial"/>
          <w:color w:val="000000"/>
        </w:rPr>
        <w:t>7</w:t>
      </w:r>
      <w:r w:rsidR="00F20715" w:rsidRPr="00EA0066">
        <w:rPr>
          <w:rFonts w:ascii="Arial" w:hAnsi="Arial" w:cs="Arial"/>
          <w:color w:val="000000"/>
        </w:rPr>
        <w:t>2,5 %</w:t>
      </w:r>
      <w:r w:rsidRPr="00EA0066">
        <w:rPr>
          <w:rFonts w:ascii="Arial" w:hAnsi="Arial" w:cs="Arial"/>
          <w:color w:val="000000"/>
        </w:rPr>
        <w:t>.</w:t>
      </w:r>
    </w:p>
    <w:p w:rsidR="008942ED" w:rsidRPr="00EA0066" w:rsidRDefault="008942ED" w:rsidP="007929F6">
      <w:pPr>
        <w:spacing w:before="240"/>
        <w:jc w:val="both"/>
        <w:rPr>
          <w:rFonts w:ascii="Arial" w:hAnsi="Arial" w:cs="Arial"/>
        </w:rPr>
      </w:pPr>
      <w:r w:rsidRPr="00EA0066">
        <w:rPr>
          <w:rFonts w:ascii="Arial" w:hAnsi="Arial" w:cs="Arial"/>
        </w:rPr>
        <w:t xml:space="preserve">Enestudios </w:t>
      </w:r>
      <w:r w:rsidR="00F20715" w:rsidRPr="00EA0066">
        <w:rPr>
          <w:rFonts w:ascii="Arial" w:hAnsi="Arial" w:cs="Arial"/>
        </w:rPr>
        <w:t>los</w:t>
      </w:r>
      <w:r w:rsidRPr="00EA0066">
        <w:rPr>
          <w:rFonts w:ascii="Arial" w:hAnsi="Arial" w:cs="Arial"/>
        </w:rPr>
        <w:t xml:space="preserve"> realizados </w:t>
      </w:r>
      <w:r w:rsidR="00F20715" w:rsidRPr="00EA0066">
        <w:rPr>
          <w:rFonts w:ascii="Arial" w:hAnsi="Arial" w:cs="Arial"/>
        </w:rPr>
        <w:t>por</w:t>
      </w:r>
      <w:r w:rsidR="008D644B">
        <w:rPr>
          <w:rFonts w:ascii="Arial" w:hAnsi="Arial" w:cs="Arial"/>
        </w:rPr>
        <w:t>Domínguez</w:t>
      </w:r>
      <w:r w:rsidR="008D644B" w:rsidRPr="00EA0066">
        <w:rPr>
          <w:rFonts w:ascii="Arial" w:hAnsi="Arial" w:cs="Arial"/>
          <w:vertAlign w:val="superscript"/>
        </w:rPr>
        <w:t>4</w:t>
      </w:r>
      <w:r w:rsidRPr="00EA0066">
        <w:rPr>
          <w:rFonts w:ascii="Arial" w:hAnsi="Arial" w:cs="Arial"/>
        </w:rPr>
        <w:t xml:space="preserve">se observan resultados </w:t>
      </w:r>
      <w:r w:rsidR="007106A5" w:rsidRPr="00EA0066">
        <w:rPr>
          <w:rFonts w:ascii="Arial" w:hAnsi="Arial" w:cs="Arial"/>
        </w:rPr>
        <w:t xml:space="preserve">no </w:t>
      </w:r>
      <w:r w:rsidRPr="00EA0066">
        <w:rPr>
          <w:rFonts w:ascii="Arial" w:hAnsi="Arial" w:cs="Arial"/>
        </w:rPr>
        <w:t xml:space="preserve">similares al </w:t>
      </w:r>
      <w:r w:rsidRPr="00EA0066">
        <w:rPr>
          <w:rFonts w:ascii="Arial" w:hAnsi="Arial" w:cs="Arial"/>
          <w:color w:val="000000"/>
        </w:rPr>
        <w:t>nuestro en cuanto al predominio de las enfermedades bucales que afectan el estado de los dientes como la caries y las periodontopatíasen la</w:t>
      </w:r>
      <w:r w:rsidR="00DE5A0D">
        <w:rPr>
          <w:rFonts w:ascii="Arial" w:hAnsi="Arial" w:cs="Arial"/>
          <w:color w:val="000000"/>
        </w:rPr>
        <w:t xml:space="preserve"> población adulto mayor siendo </w:t>
      </w:r>
      <w:r w:rsidR="004656B8">
        <w:rPr>
          <w:rFonts w:ascii="Arial" w:hAnsi="Arial" w:cs="Arial"/>
          <w:color w:val="000000"/>
        </w:rPr>
        <w:t>la más representativa para ella</w:t>
      </w:r>
      <w:bookmarkStart w:id="3" w:name="_GoBack"/>
      <w:bookmarkEnd w:id="3"/>
      <w:r w:rsidRPr="00EA0066">
        <w:rPr>
          <w:rFonts w:ascii="Arial" w:hAnsi="Arial" w:cs="Arial"/>
          <w:color w:val="000000"/>
        </w:rPr>
        <w:t xml:space="preserve"> después del desdentamiento </w:t>
      </w:r>
      <w:r w:rsidRPr="00EA0066">
        <w:rPr>
          <w:rFonts w:ascii="Arial" w:hAnsi="Arial" w:cs="Arial"/>
        </w:rPr>
        <w:t xml:space="preserve"> la caries dental con un 73</w:t>
      </w:r>
      <w:r w:rsidR="00F554D2" w:rsidRPr="00EA0066">
        <w:rPr>
          <w:rFonts w:ascii="Arial" w:hAnsi="Arial" w:cs="Arial"/>
        </w:rPr>
        <w:t>,</w:t>
      </w:r>
      <w:r w:rsidRPr="00EA0066">
        <w:rPr>
          <w:rFonts w:ascii="Arial" w:hAnsi="Arial" w:cs="Arial"/>
        </w:rPr>
        <w:t xml:space="preserve">3 % y luego las periodontopatías  con un 29%. </w:t>
      </w:r>
    </w:p>
    <w:p w:rsidR="008942ED" w:rsidRPr="00EA0066" w:rsidRDefault="00F20715" w:rsidP="007929F6">
      <w:pPr>
        <w:spacing w:before="240"/>
        <w:jc w:val="both"/>
        <w:rPr>
          <w:rFonts w:ascii="Arial" w:hAnsi="Arial" w:cs="Arial"/>
          <w:vertAlign w:val="superscript"/>
        </w:rPr>
      </w:pPr>
      <w:r w:rsidRPr="00EA0066">
        <w:rPr>
          <w:rFonts w:ascii="Arial" w:hAnsi="Arial" w:cs="Arial"/>
          <w:lang w:val="es-ES_tradnl"/>
        </w:rPr>
        <w:t>Nuestros</w:t>
      </w:r>
      <w:r w:rsidR="008942ED" w:rsidRPr="00EA0066">
        <w:rPr>
          <w:rFonts w:ascii="Arial" w:hAnsi="Arial" w:cs="Arial"/>
          <w:lang w:val="es-ES_tradnl"/>
        </w:rPr>
        <w:t xml:space="preserve"> resultados </w:t>
      </w:r>
      <w:r w:rsidR="007106A5" w:rsidRPr="00EA0066">
        <w:rPr>
          <w:rFonts w:ascii="Arial" w:hAnsi="Arial" w:cs="Arial"/>
          <w:lang w:val="es-ES_tradnl"/>
        </w:rPr>
        <w:t xml:space="preserve">no </w:t>
      </w:r>
      <w:r w:rsidR="008942ED" w:rsidRPr="00EA0066">
        <w:rPr>
          <w:rFonts w:ascii="Arial" w:hAnsi="Arial" w:cs="Arial"/>
          <w:lang w:val="es-ES_tradnl"/>
        </w:rPr>
        <w:t>coinciden con los obtenidos por la Dra.</w:t>
      </w:r>
      <w:r w:rsidRPr="00EA0066">
        <w:rPr>
          <w:rFonts w:ascii="Arial" w:hAnsi="Arial" w:cs="Arial"/>
        </w:rPr>
        <w:t xml:space="preserve"> Ibarra Martínez</w:t>
      </w:r>
      <w:r w:rsidR="004834DC" w:rsidRPr="00EA0066">
        <w:rPr>
          <w:rFonts w:ascii="Arial" w:hAnsi="Arial" w:cs="Arial"/>
          <w:vertAlign w:val="superscript"/>
        </w:rPr>
        <w:t>14</w:t>
      </w:r>
      <w:r w:rsidRPr="00EA0066">
        <w:rPr>
          <w:rFonts w:ascii="Arial" w:hAnsi="Arial" w:cs="Arial"/>
        </w:rPr>
        <w:t>debido a</w:t>
      </w:r>
      <w:r w:rsidR="008942ED" w:rsidRPr="00EA0066">
        <w:rPr>
          <w:rFonts w:ascii="Arial" w:hAnsi="Arial" w:cs="Arial"/>
        </w:rPr>
        <w:t xml:space="preserve"> la elevada prevalencia de la enfermedad periodontal y la caries dental </w:t>
      </w:r>
      <w:r w:rsidR="00F554D2" w:rsidRPr="00EA0066">
        <w:rPr>
          <w:rFonts w:ascii="Arial" w:hAnsi="Arial" w:cs="Arial"/>
        </w:rPr>
        <w:t>con</w:t>
      </w:r>
      <w:r w:rsidR="008942ED" w:rsidRPr="00EA0066">
        <w:rPr>
          <w:rFonts w:ascii="Arial" w:hAnsi="Arial" w:cs="Arial"/>
        </w:rPr>
        <w:t xml:space="preserve"> un 51.2 % </w:t>
      </w:r>
      <w:r w:rsidRPr="00EA0066">
        <w:rPr>
          <w:rFonts w:ascii="Arial" w:hAnsi="Arial" w:cs="Arial"/>
        </w:rPr>
        <w:t>de afectación</w:t>
      </w:r>
      <w:r w:rsidR="008942ED" w:rsidRPr="00EA0066">
        <w:rPr>
          <w:rFonts w:ascii="Arial" w:hAnsi="Arial" w:cs="Arial"/>
        </w:rPr>
        <w:t xml:space="preserve"> el estado de los dientes.Estas enfermedades provocanque el estado dentalque más prevaleceen los ancianos sea el desdentamiento</w:t>
      </w:r>
      <w:r w:rsidR="00F554D2" w:rsidRPr="00EA0066">
        <w:rPr>
          <w:rFonts w:ascii="Arial" w:hAnsi="Arial" w:cs="Arial"/>
        </w:rPr>
        <w:t xml:space="preserve"> total o parcial que </w:t>
      </w:r>
      <w:r w:rsidR="008942ED" w:rsidRPr="00EA0066">
        <w:rPr>
          <w:rFonts w:ascii="Arial" w:hAnsi="Arial" w:cs="Arial"/>
        </w:rPr>
        <w:lastRenderedPageBreak/>
        <w:t>provoca un grado variable de</w:t>
      </w:r>
      <w:r w:rsidR="007106A5" w:rsidRPr="00EA0066">
        <w:rPr>
          <w:rFonts w:ascii="Arial" w:hAnsi="Arial" w:cs="Arial"/>
        </w:rPr>
        <w:t xml:space="preserve"> invalidez o incapacidad oral, </w:t>
      </w:r>
      <w:r w:rsidR="008942ED" w:rsidRPr="00EA0066">
        <w:rPr>
          <w:rFonts w:ascii="Arial" w:hAnsi="Arial" w:cs="Arial"/>
        </w:rPr>
        <w:t>solo mejorable con    una óptima rehabilitación protésica.</w:t>
      </w:r>
    </w:p>
    <w:p w:rsidR="00794472" w:rsidRPr="00EA0066" w:rsidRDefault="00794472" w:rsidP="007929F6">
      <w:pPr>
        <w:pStyle w:val="Arial12"/>
        <w:spacing w:before="240" w:line="240" w:lineRule="auto"/>
        <w:ind w:right="-35"/>
        <w:rPr>
          <w:rFonts w:cs="Arial"/>
          <w:b/>
        </w:rPr>
      </w:pPr>
      <w:r w:rsidRPr="00EA0066">
        <w:rPr>
          <w:rFonts w:cs="Arial"/>
          <w:b/>
        </w:rPr>
        <w:t>CONCLUSIONES</w:t>
      </w:r>
    </w:p>
    <w:p w:rsidR="00BD27B3" w:rsidRPr="00EA0066" w:rsidRDefault="00BD27B3" w:rsidP="007929F6">
      <w:pPr>
        <w:pStyle w:val="Prrafodelista"/>
        <w:numPr>
          <w:ilvl w:val="0"/>
          <w:numId w:val="1"/>
        </w:numPr>
        <w:spacing w:before="240"/>
        <w:ind w:left="284" w:hanging="284"/>
        <w:jc w:val="both"/>
        <w:rPr>
          <w:rFonts w:ascii="Arial" w:hAnsi="Arial" w:cs="Arial"/>
          <w:color w:val="000000"/>
        </w:rPr>
      </w:pPr>
      <w:r w:rsidRPr="00EA0066">
        <w:rPr>
          <w:rFonts w:ascii="Arial" w:hAnsi="Arial" w:cs="Arial"/>
          <w:color w:val="000000"/>
        </w:rPr>
        <w:t>Predominó el sexo masculino y as edades más representadas fueron las de 60 a 74 años.</w:t>
      </w:r>
    </w:p>
    <w:p w:rsidR="00943B4B" w:rsidRPr="00EA0066" w:rsidRDefault="00BD27B3" w:rsidP="007929F6">
      <w:pPr>
        <w:pStyle w:val="Prrafodelista"/>
        <w:numPr>
          <w:ilvl w:val="0"/>
          <w:numId w:val="1"/>
        </w:numPr>
        <w:suppressAutoHyphens w:val="0"/>
        <w:spacing w:before="240"/>
        <w:ind w:left="284" w:hanging="284"/>
        <w:jc w:val="both"/>
        <w:rPr>
          <w:rFonts w:ascii="Arial" w:hAnsi="Arial" w:cs="Arial"/>
          <w:color w:val="000000"/>
        </w:rPr>
      </w:pPr>
      <w:r w:rsidRPr="00EA0066">
        <w:rPr>
          <w:rFonts w:ascii="Arial" w:hAnsi="Arial" w:cs="Arial"/>
          <w:color w:val="000000"/>
        </w:rPr>
        <w:t>La mayoría de los examinados no necesitan rehabilitación protésica.</w:t>
      </w:r>
    </w:p>
    <w:p w:rsidR="006735A6" w:rsidRPr="00EA0066" w:rsidRDefault="006735A6" w:rsidP="007929F6">
      <w:pPr>
        <w:pStyle w:val="Prrafodelista"/>
        <w:numPr>
          <w:ilvl w:val="0"/>
          <w:numId w:val="1"/>
        </w:numPr>
        <w:suppressAutoHyphens w:val="0"/>
        <w:spacing w:before="240"/>
        <w:ind w:left="284" w:hanging="284"/>
        <w:jc w:val="both"/>
        <w:rPr>
          <w:rFonts w:ascii="Arial" w:hAnsi="Arial" w:cs="Arial"/>
          <w:color w:val="000000"/>
        </w:rPr>
      </w:pPr>
      <w:r w:rsidRPr="00EA0066">
        <w:rPr>
          <w:rFonts w:ascii="Arial" w:hAnsi="Arial" w:cs="Arial"/>
          <w:color w:val="000000"/>
        </w:rPr>
        <w:t>Por lo general la población en estudio usa la prótesis de forma interrumpido, existiendo un predominio del sexo masculino.</w:t>
      </w:r>
    </w:p>
    <w:p w:rsidR="007929F6" w:rsidRPr="007929F6" w:rsidRDefault="006735A6" w:rsidP="007929F6">
      <w:pPr>
        <w:pStyle w:val="Prrafodelista"/>
        <w:numPr>
          <w:ilvl w:val="0"/>
          <w:numId w:val="1"/>
        </w:numPr>
        <w:suppressAutoHyphens w:val="0"/>
        <w:spacing w:before="240"/>
        <w:ind w:left="284" w:hanging="284"/>
        <w:jc w:val="both"/>
        <w:rPr>
          <w:rFonts w:ascii="Arial" w:hAnsi="Arial" w:cs="Arial"/>
        </w:rPr>
      </w:pPr>
      <w:r w:rsidRPr="00EA0066">
        <w:rPr>
          <w:rFonts w:ascii="Arial" w:hAnsi="Arial" w:cs="Arial"/>
          <w:color w:val="000000"/>
        </w:rPr>
        <w:t xml:space="preserve">Se observó con mayor frecuencia un aceptable estado de los dientes en cuanto a la presencia de caries y movilidad por </w:t>
      </w:r>
      <w:proofErr w:type="spellStart"/>
      <w:r w:rsidRPr="00EA0066">
        <w:rPr>
          <w:rFonts w:ascii="Arial" w:hAnsi="Arial" w:cs="Arial"/>
          <w:color w:val="000000"/>
        </w:rPr>
        <w:t>periodontopatías</w:t>
      </w:r>
      <w:proofErr w:type="spellEnd"/>
      <w:r w:rsidR="002232DA" w:rsidRPr="00EA0066">
        <w:rPr>
          <w:rFonts w:ascii="Arial" w:hAnsi="Arial" w:cs="Arial"/>
          <w:color w:val="000000"/>
        </w:rPr>
        <w:t>.</w:t>
      </w:r>
    </w:p>
    <w:p w:rsidR="002232DA" w:rsidRPr="00EA0066" w:rsidRDefault="002232DA" w:rsidP="007929F6">
      <w:pPr>
        <w:spacing w:before="240"/>
        <w:jc w:val="both"/>
        <w:rPr>
          <w:rFonts w:ascii="Arial" w:hAnsi="Arial" w:cs="Arial"/>
          <w:b/>
        </w:rPr>
      </w:pPr>
      <w:r w:rsidRPr="00EA0066">
        <w:rPr>
          <w:rFonts w:ascii="Arial" w:hAnsi="Arial" w:cs="Arial"/>
          <w:b/>
        </w:rPr>
        <w:t>REFERENCIAS BIBLIOGRÁFICAS</w:t>
      </w:r>
    </w:p>
    <w:p w:rsidR="00DE5A0D" w:rsidRPr="00DE5A0D" w:rsidRDefault="00DE5A0D" w:rsidP="00DE5A0D">
      <w:pPr>
        <w:pStyle w:val="Prrafodelista"/>
        <w:numPr>
          <w:ilvl w:val="0"/>
          <w:numId w:val="8"/>
        </w:numPr>
        <w:suppressAutoHyphens w:val="0"/>
        <w:ind w:left="426" w:hanging="426"/>
        <w:jc w:val="both"/>
        <w:rPr>
          <w:rFonts w:ascii="Arial" w:hAnsi="Arial" w:cs="Arial"/>
        </w:rPr>
      </w:pPr>
      <w:r w:rsidRPr="00DE5A0D">
        <w:rPr>
          <w:rFonts w:ascii="Arial" w:hAnsi="Arial" w:cs="Arial"/>
        </w:rPr>
        <w:t>González Ramos, Rosa María, Madrazo Ordaz, Daisy Elena, &amp; Osorio Núñez, Maritza. (201</w:t>
      </w:r>
      <w:r w:rsidR="00F35ADB">
        <w:rPr>
          <w:rFonts w:ascii="Arial" w:hAnsi="Arial" w:cs="Arial"/>
        </w:rPr>
        <w:t>6</w:t>
      </w:r>
      <w:r w:rsidRPr="00DE5A0D">
        <w:rPr>
          <w:rFonts w:ascii="Arial" w:hAnsi="Arial" w:cs="Arial"/>
        </w:rPr>
        <w:t>). Conocimientos sobre salud bucal en los círculos de abuelos. </w:t>
      </w:r>
      <w:r w:rsidRPr="00DE5A0D">
        <w:rPr>
          <w:rFonts w:ascii="Arial" w:hAnsi="Arial" w:cs="Arial"/>
          <w:i/>
          <w:iCs/>
        </w:rPr>
        <w:t>Revista Cubana de Estomatología</w:t>
      </w:r>
      <w:r w:rsidRPr="00DE5A0D">
        <w:rPr>
          <w:rFonts w:ascii="Arial" w:hAnsi="Arial" w:cs="Arial"/>
        </w:rPr>
        <w:t>, </w:t>
      </w:r>
      <w:r w:rsidRPr="00DE5A0D">
        <w:rPr>
          <w:rFonts w:ascii="Arial" w:hAnsi="Arial" w:cs="Arial"/>
          <w:i/>
          <w:iCs/>
        </w:rPr>
        <w:t>50</w:t>
      </w:r>
      <w:r w:rsidRPr="00DE5A0D">
        <w:rPr>
          <w:rFonts w:ascii="Arial" w:hAnsi="Arial" w:cs="Arial"/>
        </w:rPr>
        <w:t xml:space="preserve">(3), 284-291. Recuperado en 13 de marzo de 2018, de </w:t>
      </w:r>
      <w:hyperlink r:id="rId6" w:history="1">
        <w:r w:rsidRPr="00DE5A0D">
          <w:rPr>
            <w:rStyle w:val="Hipervnculo"/>
            <w:rFonts w:ascii="Arial" w:hAnsi="Arial" w:cs="Arial"/>
            <w:color w:val="auto"/>
            <w:u w:val="none"/>
          </w:rPr>
          <w:t>http://scielo.sld.cu/scielo.php?script=sci_arttext&amp;pid=S0034-75072013000300006&amp;lng=es&amp;tlng=es</w:t>
        </w:r>
      </w:hyperlink>
      <w:r w:rsidRPr="00DE5A0D">
        <w:rPr>
          <w:rFonts w:ascii="Arial" w:hAnsi="Arial" w:cs="Arial"/>
        </w:rPr>
        <w:t>.</w:t>
      </w:r>
    </w:p>
    <w:p w:rsidR="00DE5A0D" w:rsidRPr="00DE5A0D" w:rsidRDefault="00DE5A0D" w:rsidP="00DE5A0D">
      <w:pPr>
        <w:pStyle w:val="Prrafodelista"/>
        <w:numPr>
          <w:ilvl w:val="0"/>
          <w:numId w:val="8"/>
        </w:numPr>
        <w:suppressAutoHyphens w:val="0"/>
        <w:autoSpaceDE w:val="0"/>
        <w:autoSpaceDN w:val="0"/>
        <w:adjustRightInd w:val="0"/>
        <w:ind w:left="426" w:hanging="426"/>
        <w:jc w:val="both"/>
        <w:rPr>
          <w:rFonts w:ascii="Arial" w:hAnsi="Arial" w:cs="Arial"/>
        </w:rPr>
      </w:pPr>
      <w:r w:rsidRPr="00DE5A0D">
        <w:rPr>
          <w:rFonts w:ascii="Arial" w:hAnsi="Arial" w:cs="Arial"/>
        </w:rPr>
        <w:t xml:space="preserve">Rodríguez García, Luis Orlando, Reyes Puig, Ana Clara, Blanco Ruiz, Antonio.  Intervención educativa sobre la salud bucal en un círculo de la tercera edad. La Habana del Este.  </w:t>
      </w:r>
      <w:proofErr w:type="spellStart"/>
      <w:r w:rsidRPr="00DE5A0D">
        <w:rPr>
          <w:rFonts w:ascii="Arial" w:hAnsi="Arial" w:cs="Arial"/>
        </w:rPr>
        <w:t>Odontologia</w:t>
      </w:r>
      <w:proofErr w:type="spellEnd"/>
      <w:r w:rsidRPr="00DE5A0D">
        <w:rPr>
          <w:rFonts w:ascii="Arial" w:hAnsi="Arial" w:cs="Arial"/>
        </w:rPr>
        <w:t xml:space="preserve"> Online - </w:t>
      </w:r>
      <w:proofErr w:type="spellStart"/>
      <w:r w:rsidRPr="00DE5A0D">
        <w:rPr>
          <w:rFonts w:ascii="Arial" w:hAnsi="Arial" w:cs="Arial"/>
        </w:rPr>
        <w:t>Info</w:t>
      </w:r>
      <w:proofErr w:type="spellEnd"/>
      <w:r w:rsidRPr="00DE5A0D">
        <w:rPr>
          <w:rFonts w:ascii="Arial" w:hAnsi="Arial" w:cs="Arial"/>
        </w:rPr>
        <w:t xml:space="preserve"> Dental en español. Recuperado en 13 de marzo de 2018, de </w:t>
      </w:r>
      <w:hyperlink r:id="rId7" w:history="1">
        <w:r w:rsidRPr="00DE5A0D">
          <w:rPr>
            <w:rStyle w:val="Hipervnculo"/>
            <w:rFonts w:ascii="Arial" w:hAnsi="Arial" w:cs="Arial"/>
            <w:color w:val="auto"/>
            <w:u w:val="none"/>
          </w:rPr>
          <w:t>https://www.odontologia-online.com/publicaciones/medicina-estomatologica/245-intervencion-educativa-sobre-la-salud-bucal-en-un-circulo-de-la-tercera-edad-la-habana-del-este.html</w:t>
        </w:r>
      </w:hyperlink>
    </w:p>
    <w:p w:rsidR="00DE5A0D" w:rsidRPr="00DE5A0D" w:rsidRDefault="00DE5A0D" w:rsidP="00DE5A0D">
      <w:pPr>
        <w:pStyle w:val="Prrafodelista"/>
        <w:numPr>
          <w:ilvl w:val="0"/>
          <w:numId w:val="8"/>
        </w:numPr>
        <w:suppressAutoHyphens w:val="0"/>
        <w:autoSpaceDE w:val="0"/>
        <w:autoSpaceDN w:val="0"/>
        <w:adjustRightInd w:val="0"/>
        <w:ind w:left="426" w:hanging="426"/>
        <w:jc w:val="both"/>
        <w:rPr>
          <w:rFonts w:ascii="Arial" w:hAnsi="Arial" w:cs="Arial"/>
        </w:rPr>
      </w:pPr>
      <w:r w:rsidRPr="00DE5A0D">
        <w:rPr>
          <w:rFonts w:ascii="Arial" w:hAnsi="Arial" w:cs="Arial"/>
        </w:rPr>
        <w:t xml:space="preserve">Gutiérrez Segura, </w:t>
      </w:r>
      <w:proofErr w:type="spellStart"/>
      <w:r w:rsidRPr="00DE5A0D">
        <w:rPr>
          <w:rFonts w:ascii="Arial" w:hAnsi="Arial" w:cs="Arial"/>
        </w:rPr>
        <w:t>Mildred</w:t>
      </w:r>
      <w:proofErr w:type="spellEnd"/>
      <w:r w:rsidRPr="00DE5A0D">
        <w:rPr>
          <w:rFonts w:ascii="Arial" w:hAnsi="Arial" w:cs="Arial"/>
        </w:rPr>
        <w:t xml:space="preserve">, Sánchez Ramírez, </w:t>
      </w:r>
      <w:proofErr w:type="spellStart"/>
      <w:r w:rsidRPr="00DE5A0D">
        <w:rPr>
          <w:rFonts w:ascii="Arial" w:hAnsi="Arial" w:cs="Arial"/>
        </w:rPr>
        <w:t>Yohandra</w:t>
      </w:r>
      <w:proofErr w:type="spellEnd"/>
      <w:r w:rsidRPr="00DE5A0D">
        <w:rPr>
          <w:rFonts w:ascii="Arial" w:hAnsi="Arial" w:cs="Arial"/>
        </w:rPr>
        <w:t>, &amp; Castillo Santiesteban, Yanet. (201</w:t>
      </w:r>
      <w:r w:rsidR="00F35ADB">
        <w:rPr>
          <w:rFonts w:ascii="Arial" w:hAnsi="Arial" w:cs="Arial"/>
        </w:rPr>
        <w:t>4</w:t>
      </w:r>
      <w:r w:rsidRPr="00DE5A0D">
        <w:rPr>
          <w:rFonts w:ascii="Arial" w:hAnsi="Arial" w:cs="Arial"/>
        </w:rPr>
        <w:t>). Lesiones en la mucosa oral de pacientes mayores de 60 años y portadores de prótesis. </w:t>
      </w:r>
      <w:r w:rsidRPr="00DE5A0D">
        <w:rPr>
          <w:rFonts w:ascii="Arial" w:hAnsi="Arial" w:cs="Arial"/>
          <w:i/>
          <w:iCs/>
        </w:rPr>
        <w:t>Correo Científico Médico</w:t>
      </w:r>
      <w:r w:rsidRPr="00DE5A0D">
        <w:rPr>
          <w:rFonts w:ascii="Arial" w:hAnsi="Arial" w:cs="Arial"/>
        </w:rPr>
        <w:t>, </w:t>
      </w:r>
      <w:r w:rsidRPr="00DE5A0D">
        <w:rPr>
          <w:rFonts w:ascii="Arial" w:hAnsi="Arial" w:cs="Arial"/>
          <w:i/>
          <w:iCs/>
        </w:rPr>
        <w:t>17</w:t>
      </w:r>
      <w:r w:rsidRPr="00DE5A0D">
        <w:rPr>
          <w:rFonts w:ascii="Arial" w:hAnsi="Arial" w:cs="Arial"/>
        </w:rPr>
        <w:t>(4), 452-460. Recuperado en 19 de febrero de 2018, de http://scielo.sld.cu/scielo.php?script=sci_arttext&amp;pid=S1560-43812013000400005&amp;lng=es&amp;tlng=es.</w:t>
      </w:r>
    </w:p>
    <w:p w:rsidR="00DE5A0D" w:rsidRPr="00DE5A0D" w:rsidRDefault="00DE5A0D" w:rsidP="00DE5A0D">
      <w:pPr>
        <w:pStyle w:val="Prrafodelista"/>
        <w:numPr>
          <w:ilvl w:val="0"/>
          <w:numId w:val="8"/>
        </w:numPr>
        <w:shd w:val="clear" w:color="auto" w:fill="FFFFFF"/>
        <w:suppressAutoHyphens w:val="0"/>
        <w:ind w:left="426" w:hanging="426"/>
        <w:jc w:val="both"/>
        <w:rPr>
          <w:rFonts w:ascii="Arial" w:hAnsi="Arial" w:cs="Arial"/>
        </w:rPr>
      </w:pPr>
      <w:r w:rsidRPr="00DE5A0D">
        <w:rPr>
          <w:rFonts w:ascii="Arial" w:hAnsi="Arial" w:cs="Arial"/>
        </w:rPr>
        <w:t xml:space="preserve">Domínguez Santana, L., Valdés Herrera, M., Cabrera </w:t>
      </w:r>
      <w:proofErr w:type="spellStart"/>
      <w:r w:rsidRPr="00DE5A0D">
        <w:rPr>
          <w:rFonts w:ascii="Arial" w:hAnsi="Arial" w:cs="Arial"/>
        </w:rPr>
        <w:t>Cabrera</w:t>
      </w:r>
      <w:proofErr w:type="spellEnd"/>
      <w:r w:rsidRPr="00DE5A0D">
        <w:rPr>
          <w:rFonts w:ascii="Arial" w:hAnsi="Arial" w:cs="Arial"/>
        </w:rPr>
        <w:t>, D., &amp; Rodríguez Pérez, L. (2016). Estado de salud bucal de la población geriátrica de un consultorio del Policlínico Rampa. </w:t>
      </w:r>
      <w:proofErr w:type="spellStart"/>
      <w:r w:rsidRPr="00DE5A0D">
        <w:rPr>
          <w:rStyle w:val="nfasis"/>
          <w:rFonts w:ascii="Arial" w:hAnsi="Arial" w:cs="Arial"/>
        </w:rPr>
        <w:t>Medimay</w:t>
      </w:r>
      <w:proofErr w:type="spellEnd"/>
      <w:r w:rsidRPr="00DE5A0D">
        <w:rPr>
          <w:rStyle w:val="nfasis"/>
          <w:rFonts w:ascii="Arial" w:hAnsi="Arial" w:cs="Arial"/>
        </w:rPr>
        <w:t>, 22</w:t>
      </w:r>
      <w:r w:rsidRPr="00DE5A0D">
        <w:rPr>
          <w:rFonts w:ascii="Arial" w:hAnsi="Arial" w:cs="Arial"/>
        </w:rPr>
        <w:t>(1), 58-68. Recuperado de </w:t>
      </w:r>
      <w:hyperlink r:id="rId8" w:tgtFrame="_new" w:history="1">
        <w:r w:rsidRPr="00DE5A0D">
          <w:rPr>
            <w:rStyle w:val="Hipervnculo"/>
            <w:rFonts w:ascii="Arial" w:hAnsi="Arial" w:cs="Arial"/>
            <w:color w:val="auto"/>
            <w:u w:val="none"/>
          </w:rPr>
          <w:t>http://revcmhabana.sld.cu/index.php/rcmh/article/view/927/1338</w:t>
        </w:r>
      </w:hyperlink>
    </w:p>
    <w:p w:rsidR="00DE5A0D" w:rsidRPr="00DE5A0D" w:rsidRDefault="00DE5A0D" w:rsidP="00DE5A0D">
      <w:pPr>
        <w:pStyle w:val="Prrafodelista"/>
        <w:numPr>
          <w:ilvl w:val="0"/>
          <w:numId w:val="8"/>
        </w:numPr>
        <w:suppressAutoHyphens w:val="0"/>
        <w:autoSpaceDE w:val="0"/>
        <w:autoSpaceDN w:val="0"/>
        <w:adjustRightInd w:val="0"/>
        <w:ind w:left="426" w:hanging="426"/>
        <w:jc w:val="both"/>
        <w:rPr>
          <w:rFonts w:ascii="Arial" w:hAnsi="Arial" w:cs="Arial"/>
        </w:rPr>
      </w:pPr>
      <w:r w:rsidRPr="00DE5A0D">
        <w:rPr>
          <w:rFonts w:ascii="Arial" w:hAnsi="Arial" w:cs="Arial"/>
        </w:rPr>
        <w:t xml:space="preserve">Lugo Angulo, </w:t>
      </w:r>
      <w:proofErr w:type="spellStart"/>
      <w:r w:rsidRPr="00DE5A0D">
        <w:rPr>
          <w:rFonts w:ascii="Arial" w:hAnsi="Arial" w:cs="Arial"/>
        </w:rPr>
        <w:t>Ercilia</w:t>
      </w:r>
      <w:proofErr w:type="spellEnd"/>
      <w:r w:rsidRPr="00DE5A0D">
        <w:rPr>
          <w:rFonts w:ascii="Arial" w:hAnsi="Arial" w:cs="Arial"/>
        </w:rPr>
        <w:t xml:space="preserve">, García Cabrera, Lizet, </w:t>
      </w:r>
      <w:proofErr w:type="spellStart"/>
      <w:r w:rsidRPr="00DE5A0D">
        <w:rPr>
          <w:rFonts w:ascii="Arial" w:hAnsi="Arial" w:cs="Arial"/>
        </w:rPr>
        <w:t>Gross</w:t>
      </w:r>
      <w:proofErr w:type="spellEnd"/>
      <w:r w:rsidRPr="00DE5A0D">
        <w:rPr>
          <w:rFonts w:ascii="Arial" w:hAnsi="Arial" w:cs="Arial"/>
        </w:rPr>
        <w:t xml:space="preserve"> Fernández, Caridad, Casas </w:t>
      </w:r>
      <w:proofErr w:type="spellStart"/>
      <w:r w:rsidRPr="00DE5A0D">
        <w:rPr>
          <w:rFonts w:ascii="Arial" w:hAnsi="Arial" w:cs="Arial"/>
        </w:rPr>
        <w:t>Gross</w:t>
      </w:r>
      <w:proofErr w:type="spellEnd"/>
      <w:r w:rsidRPr="00DE5A0D">
        <w:rPr>
          <w:rFonts w:ascii="Arial" w:hAnsi="Arial" w:cs="Arial"/>
        </w:rPr>
        <w:t>, Sandra, &amp; Sotomayor Lugo, Francisco. (2013). La cultura en salud bucal como problema actual de la sociedad. </w:t>
      </w:r>
      <w:r w:rsidRPr="00DE5A0D">
        <w:rPr>
          <w:rFonts w:ascii="Arial" w:hAnsi="Arial" w:cs="Arial"/>
          <w:i/>
          <w:iCs/>
        </w:rPr>
        <w:t>MEDISAN</w:t>
      </w:r>
      <w:r w:rsidRPr="00DE5A0D">
        <w:rPr>
          <w:rFonts w:ascii="Arial" w:hAnsi="Arial" w:cs="Arial"/>
        </w:rPr>
        <w:t>, </w:t>
      </w:r>
      <w:r w:rsidRPr="00DE5A0D">
        <w:rPr>
          <w:rFonts w:ascii="Arial" w:hAnsi="Arial" w:cs="Arial"/>
          <w:i/>
          <w:iCs/>
        </w:rPr>
        <w:t>17</w:t>
      </w:r>
      <w:r w:rsidRPr="00DE5A0D">
        <w:rPr>
          <w:rFonts w:ascii="Arial" w:hAnsi="Arial" w:cs="Arial"/>
        </w:rPr>
        <w:t xml:space="preserve">(4), 677-685. Recuperado en 8 de abril de 2017, de </w:t>
      </w:r>
      <w:hyperlink r:id="rId9" w:history="1">
        <w:r w:rsidRPr="00DE5A0D">
          <w:rPr>
            <w:rStyle w:val="Hipervnculo"/>
            <w:rFonts w:ascii="Arial" w:hAnsi="Arial" w:cs="Arial"/>
            <w:color w:val="auto"/>
            <w:u w:val="none"/>
          </w:rPr>
          <w:t>http://scielo.sld.cu/scielo.php?script=sci_arttext&amp;pid=S1029-30192013000400015&amp;lng=es&amp;tlng=es</w:t>
        </w:r>
      </w:hyperlink>
      <w:r w:rsidRPr="00DE5A0D">
        <w:rPr>
          <w:rFonts w:ascii="Arial" w:hAnsi="Arial" w:cs="Arial"/>
        </w:rPr>
        <w:t>.</w:t>
      </w:r>
    </w:p>
    <w:p w:rsidR="00DE5A0D" w:rsidRPr="00DE5A0D" w:rsidRDefault="00DE5A0D" w:rsidP="00DE5A0D">
      <w:pPr>
        <w:pStyle w:val="Prrafodelista"/>
        <w:numPr>
          <w:ilvl w:val="0"/>
          <w:numId w:val="8"/>
        </w:numPr>
        <w:suppressAutoHyphens w:val="0"/>
        <w:autoSpaceDE w:val="0"/>
        <w:autoSpaceDN w:val="0"/>
        <w:adjustRightInd w:val="0"/>
        <w:ind w:left="426" w:hanging="426"/>
        <w:jc w:val="both"/>
        <w:rPr>
          <w:rFonts w:ascii="Arial" w:hAnsi="Arial" w:cs="Arial"/>
        </w:rPr>
      </w:pPr>
      <w:r w:rsidRPr="00DE5A0D">
        <w:rPr>
          <w:rFonts w:ascii="Arial" w:hAnsi="Arial" w:cs="Arial"/>
        </w:rPr>
        <w:t xml:space="preserve">Candelaria Brito, Julio Cesar, Gutiérrez </w:t>
      </w:r>
      <w:proofErr w:type="spellStart"/>
      <w:r w:rsidRPr="00DE5A0D">
        <w:rPr>
          <w:rFonts w:ascii="Arial" w:hAnsi="Arial" w:cs="Arial"/>
        </w:rPr>
        <w:t>Gutiérrez</w:t>
      </w:r>
      <w:proofErr w:type="spellEnd"/>
      <w:r w:rsidRPr="00DE5A0D">
        <w:rPr>
          <w:rFonts w:ascii="Arial" w:hAnsi="Arial" w:cs="Arial"/>
        </w:rPr>
        <w:t>, Carlos, Acosta Cruz, Claudia, Pérez Ruiz, Ariadna, Ruiz Pérez, Félix Raúl, &amp; Labrador Mazón, Orestes. (2017). Programa de educación comunitaria sobre salud nefrológica en adultos mayores con factores de riesgo. </w:t>
      </w:r>
      <w:r w:rsidRPr="00DE5A0D">
        <w:rPr>
          <w:rFonts w:ascii="Arial" w:hAnsi="Arial" w:cs="Arial"/>
          <w:i/>
          <w:iCs/>
        </w:rPr>
        <w:t>Revista Cubana de Medicina General Integral</w:t>
      </w:r>
      <w:r w:rsidRPr="00DE5A0D">
        <w:rPr>
          <w:rFonts w:ascii="Arial" w:hAnsi="Arial" w:cs="Arial"/>
        </w:rPr>
        <w:t>, </w:t>
      </w:r>
      <w:r w:rsidRPr="00DE5A0D">
        <w:rPr>
          <w:rFonts w:ascii="Arial" w:hAnsi="Arial" w:cs="Arial"/>
          <w:i/>
          <w:iCs/>
        </w:rPr>
        <w:t>33</w:t>
      </w:r>
      <w:r w:rsidRPr="00DE5A0D">
        <w:rPr>
          <w:rFonts w:ascii="Arial" w:hAnsi="Arial" w:cs="Arial"/>
        </w:rPr>
        <w:t>(2), 163-170. Recuperado en 29 de marzo de 2018, de http://scielo.sld.cu/scielo.php?script=sci_arttext&amp;pid=S0864-21252017000200001&amp;lng=es&amp;tlng=es.</w:t>
      </w:r>
    </w:p>
    <w:p w:rsidR="00DE5A0D" w:rsidRPr="00DE5A0D" w:rsidRDefault="00DE5A0D" w:rsidP="00DE5A0D">
      <w:pPr>
        <w:pStyle w:val="Prrafodelista"/>
        <w:numPr>
          <w:ilvl w:val="0"/>
          <w:numId w:val="8"/>
        </w:numPr>
        <w:suppressAutoHyphens w:val="0"/>
        <w:autoSpaceDE w:val="0"/>
        <w:autoSpaceDN w:val="0"/>
        <w:adjustRightInd w:val="0"/>
        <w:ind w:left="426" w:hanging="426"/>
        <w:jc w:val="both"/>
        <w:rPr>
          <w:rFonts w:ascii="Arial" w:hAnsi="Arial" w:cs="Arial"/>
        </w:rPr>
      </w:pPr>
      <w:r w:rsidRPr="00DE5A0D">
        <w:rPr>
          <w:rFonts w:ascii="Arial" w:hAnsi="Arial" w:cs="Arial"/>
        </w:rPr>
        <w:lastRenderedPageBreak/>
        <w:t xml:space="preserve">Morales Pérez, </w:t>
      </w:r>
      <w:proofErr w:type="spellStart"/>
      <w:r w:rsidRPr="00DE5A0D">
        <w:rPr>
          <w:rFonts w:ascii="Arial" w:hAnsi="Arial" w:cs="Arial"/>
        </w:rPr>
        <w:t>Yaquelin</w:t>
      </w:r>
      <w:proofErr w:type="spellEnd"/>
      <w:r w:rsidRPr="00DE5A0D">
        <w:rPr>
          <w:rFonts w:ascii="Arial" w:hAnsi="Arial" w:cs="Arial"/>
        </w:rPr>
        <w:t xml:space="preserve"> Juliana, Meras Jáuregui, Teresa María, &amp; Batista </w:t>
      </w:r>
      <w:proofErr w:type="spellStart"/>
      <w:r w:rsidRPr="00DE5A0D">
        <w:rPr>
          <w:rFonts w:ascii="Arial" w:hAnsi="Arial" w:cs="Arial"/>
        </w:rPr>
        <w:t>Aldereguia</w:t>
      </w:r>
      <w:proofErr w:type="spellEnd"/>
      <w:r w:rsidRPr="00DE5A0D">
        <w:rPr>
          <w:rFonts w:ascii="Arial" w:hAnsi="Arial" w:cs="Arial"/>
        </w:rPr>
        <w:t xml:space="preserve">, </w:t>
      </w:r>
      <w:proofErr w:type="spellStart"/>
      <w:r w:rsidRPr="00DE5A0D">
        <w:rPr>
          <w:rFonts w:ascii="Arial" w:hAnsi="Arial" w:cs="Arial"/>
        </w:rPr>
        <w:t>Mirtha</w:t>
      </w:r>
      <w:proofErr w:type="spellEnd"/>
      <w:r w:rsidRPr="00DE5A0D">
        <w:rPr>
          <w:rFonts w:ascii="Arial" w:hAnsi="Arial" w:cs="Arial"/>
        </w:rPr>
        <w:t xml:space="preserve"> Yamila. (2019). Lesiones </w:t>
      </w:r>
      <w:proofErr w:type="spellStart"/>
      <w:r w:rsidRPr="00DE5A0D">
        <w:rPr>
          <w:rFonts w:ascii="Arial" w:hAnsi="Arial" w:cs="Arial"/>
        </w:rPr>
        <w:t>paraprotéticas</w:t>
      </w:r>
      <w:proofErr w:type="spellEnd"/>
      <w:r w:rsidRPr="00DE5A0D">
        <w:rPr>
          <w:rFonts w:ascii="Arial" w:hAnsi="Arial" w:cs="Arial"/>
        </w:rPr>
        <w:t xml:space="preserve"> de tejidos blandos en pacientes portadores de prótesis total. </w:t>
      </w:r>
      <w:proofErr w:type="spellStart"/>
      <w:r w:rsidRPr="00DE5A0D">
        <w:rPr>
          <w:rFonts w:ascii="Arial" w:hAnsi="Arial" w:cs="Arial"/>
          <w:i/>
          <w:iCs/>
        </w:rPr>
        <w:t>Medicentro</w:t>
      </w:r>
      <w:proofErr w:type="spellEnd"/>
      <w:r w:rsidRPr="00DE5A0D">
        <w:rPr>
          <w:rFonts w:ascii="Arial" w:hAnsi="Arial" w:cs="Arial"/>
          <w:i/>
          <w:iCs/>
        </w:rPr>
        <w:t xml:space="preserve"> Electrónica</w:t>
      </w:r>
      <w:r w:rsidRPr="00DE5A0D">
        <w:rPr>
          <w:rFonts w:ascii="Arial" w:hAnsi="Arial" w:cs="Arial"/>
        </w:rPr>
        <w:t>, </w:t>
      </w:r>
      <w:r w:rsidRPr="00DE5A0D">
        <w:rPr>
          <w:rFonts w:ascii="Arial" w:hAnsi="Arial" w:cs="Arial"/>
          <w:i/>
          <w:iCs/>
        </w:rPr>
        <w:t>23</w:t>
      </w:r>
      <w:r w:rsidRPr="00DE5A0D">
        <w:rPr>
          <w:rFonts w:ascii="Arial" w:hAnsi="Arial" w:cs="Arial"/>
        </w:rPr>
        <w:t xml:space="preserve">(1), 19-25. Recuperado en 6 de noviembre de 2018, de </w:t>
      </w:r>
      <w:hyperlink r:id="rId10" w:history="1">
        <w:r w:rsidRPr="00DE5A0D">
          <w:rPr>
            <w:rStyle w:val="Hipervnculo"/>
            <w:rFonts w:ascii="Arial" w:hAnsi="Arial" w:cs="Arial"/>
            <w:color w:val="auto"/>
            <w:u w:val="none"/>
          </w:rPr>
          <w:t>http://scielo.sld.cu/scielo.php?script=sci_arttext&amp;pid=S1029-30432019000100004&amp;lng=es&amp;tlng=es</w:t>
        </w:r>
      </w:hyperlink>
      <w:r w:rsidRPr="00DE5A0D">
        <w:rPr>
          <w:rFonts w:ascii="Arial" w:hAnsi="Arial" w:cs="Arial"/>
        </w:rPr>
        <w:t>.</w:t>
      </w:r>
    </w:p>
    <w:p w:rsidR="00DE5A0D" w:rsidRPr="00DE5A0D" w:rsidRDefault="00DE5A0D" w:rsidP="00DE5A0D">
      <w:pPr>
        <w:pStyle w:val="Prrafodelista"/>
        <w:numPr>
          <w:ilvl w:val="0"/>
          <w:numId w:val="8"/>
        </w:numPr>
        <w:suppressAutoHyphens w:val="0"/>
        <w:autoSpaceDE w:val="0"/>
        <w:autoSpaceDN w:val="0"/>
        <w:adjustRightInd w:val="0"/>
        <w:ind w:left="426" w:hanging="426"/>
        <w:jc w:val="both"/>
        <w:rPr>
          <w:rFonts w:ascii="Arial" w:hAnsi="Arial" w:cs="Arial"/>
        </w:rPr>
      </w:pPr>
      <w:r w:rsidRPr="00DE5A0D">
        <w:rPr>
          <w:rFonts w:ascii="Arial" w:hAnsi="Arial" w:cs="Arial"/>
        </w:rPr>
        <w:t>Brito Sosa, Germán, &amp;</w:t>
      </w:r>
      <w:proofErr w:type="spellStart"/>
      <w:r w:rsidRPr="00DE5A0D">
        <w:rPr>
          <w:rFonts w:ascii="Arial" w:hAnsi="Arial" w:cs="Arial"/>
        </w:rPr>
        <w:t>Iraizoz</w:t>
      </w:r>
      <w:proofErr w:type="spellEnd"/>
      <w:r w:rsidRPr="00DE5A0D">
        <w:rPr>
          <w:rFonts w:ascii="Arial" w:hAnsi="Arial" w:cs="Arial"/>
        </w:rPr>
        <w:t xml:space="preserve"> Barrios, Ana María. (201</w:t>
      </w:r>
      <w:r w:rsidR="00F35ADB">
        <w:rPr>
          <w:rFonts w:ascii="Arial" w:hAnsi="Arial" w:cs="Arial"/>
        </w:rPr>
        <w:t>5</w:t>
      </w:r>
      <w:r w:rsidRPr="00DE5A0D">
        <w:rPr>
          <w:rFonts w:ascii="Arial" w:hAnsi="Arial" w:cs="Arial"/>
        </w:rPr>
        <w:t>). Valoración biopsicosocial del adulto mayor desde un enfoque bioético en una población cubana. </w:t>
      </w:r>
      <w:r w:rsidRPr="00DE5A0D">
        <w:rPr>
          <w:rFonts w:ascii="Arial" w:hAnsi="Arial" w:cs="Arial"/>
          <w:i/>
          <w:iCs/>
        </w:rPr>
        <w:t>Revista Cubana de Medicina General Integral</w:t>
      </w:r>
      <w:r w:rsidRPr="00DE5A0D">
        <w:rPr>
          <w:rFonts w:ascii="Arial" w:hAnsi="Arial" w:cs="Arial"/>
        </w:rPr>
        <w:t>, </w:t>
      </w:r>
      <w:r w:rsidRPr="00DE5A0D">
        <w:rPr>
          <w:rFonts w:ascii="Arial" w:hAnsi="Arial" w:cs="Arial"/>
          <w:i/>
          <w:iCs/>
        </w:rPr>
        <w:t>28</w:t>
      </w:r>
      <w:r w:rsidRPr="00DE5A0D">
        <w:rPr>
          <w:rFonts w:ascii="Arial" w:hAnsi="Arial" w:cs="Arial"/>
        </w:rPr>
        <w:t xml:space="preserve">(4), 630-648. Recuperado en 4 de enero de 2018, de </w:t>
      </w:r>
      <w:hyperlink r:id="rId11" w:history="1">
        <w:r w:rsidRPr="00DE5A0D">
          <w:rPr>
            <w:rStyle w:val="Hipervnculo"/>
            <w:rFonts w:ascii="Arial" w:hAnsi="Arial" w:cs="Arial"/>
            <w:color w:val="auto"/>
            <w:u w:val="none"/>
          </w:rPr>
          <w:t>http://scielo.sld.cu/scielo.php?script=sci_arttext&amp;pid=S0864-21252012000400007&amp;lng=es&amp;tlng=es</w:t>
        </w:r>
      </w:hyperlink>
      <w:r w:rsidRPr="00DE5A0D">
        <w:rPr>
          <w:rFonts w:ascii="Arial" w:hAnsi="Arial" w:cs="Arial"/>
        </w:rPr>
        <w:t>.</w:t>
      </w:r>
    </w:p>
    <w:p w:rsidR="00DE5A0D" w:rsidRPr="00DE5A0D" w:rsidRDefault="00DE5A0D" w:rsidP="00DE5A0D">
      <w:pPr>
        <w:pStyle w:val="Prrafodelista"/>
        <w:numPr>
          <w:ilvl w:val="0"/>
          <w:numId w:val="8"/>
        </w:numPr>
        <w:suppressAutoHyphens w:val="0"/>
        <w:autoSpaceDE w:val="0"/>
        <w:autoSpaceDN w:val="0"/>
        <w:adjustRightInd w:val="0"/>
        <w:ind w:left="426" w:hanging="426"/>
        <w:jc w:val="both"/>
        <w:rPr>
          <w:rFonts w:ascii="Arial" w:hAnsi="Arial" w:cs="Arial"/>
        </w:rPr>
      </w:pPr>
      <w:r w:rsidRPr="00DE5A0D">
        <w:rPr>
          <w:rFonts w:ascii="Arial" w:hAnsi="Arial" w:cs="Arial"/>
        </w:rPr>
        <w:t xml:space="preserve">Lemus Cruz, Leticia María, Triana, </w:t>
      </w:r>
      <w:proofErr w:type="spellStart"/>
      <w:r w:rsidRPr="00DE5A0D">
        <w:rPr>
          <w:rFonts w:ascii="Arial" w:hAnsi="Arial" w:cs="Arial"/>
        </w:rPr>
        <w:t>Katy</w:t>
      </w:r>
      <w:proofErr w:type="spellEnd"/>
      <w:r w:rsidRPr="00DE5A0D">
        <w:rPr>
          <w:rFonts w:ascii="Arial" w:hAnsi="Arial" w:cs="Arial"/>
        </w:rPr>
        <w:t xml:space="preserve">, Del Valle </w:t>
      </w:r>
      <w:proofErr w:type="spellStart"/>
      <w:r w:rsidRPr="00DE5A0D">
        <w:rPr>
          <w:rFonts w:ascii="Arial" w:hAnsi="Arial" w:cs="Arial"/>
        </w:rPr>
        <w:t>Selenenko</w:t>
      </w:r>
      <w:proofErr w:type="spellEnd"/>
      <w:r w:rsidRPr="00DE5A0D">
        <w:rPr>
          <w:rFonts w:ascii="Arial" w:hAnsi="Arial" w:cs="Arial"/>
        </w:rPr>
        <w:t xml:space="preserve">, </w:t>
      </w:r>
      <w:proofErr w:type="spellStart"/>
      <w:r w:rsidRPr="00DE5A0D">
        <w:rPr>
          <w:rFonts w:ascii="Arial" w:hAnsi="Arial" w:cs="Arial"/>
        </w:rPr>
        <w:t>Oksana</w:t>
      </w:r>
      <w:proofErr w:type="spellEnd"/>
      <w:r w:rsidRPr="00DE5A0D">
        <w:rPr>
          <w:rFonts w:ascii="Arial" w:hAnsi="Arial" w:cs="Arial"/>
        </w:rPr>
        <w:t xml:space="preserve">, Fuertes </w:t>
      </w:r>
      <w:proofErr w:type="spellStart"/>
      <w:r w:rsidRPr="00DE5A0D">
        <w:rPr>
          <w:rFonts w:ascii="Arial" w:hAnsi="Arial" w:cs="Arial"/>
        </w:rPr>
        <w:t>Rufín</w:t>
      </w:r>
      <w:proofErr w:type="spellEnd"/>
      <w:r w:rsidRPr="00DE5A0D">
        <w:rPr>
          <w:rFonts w:ascii="Arial" w:hAnsi="Arial" w:cs="Arial"/>
        </w:rPr>
        <w:t xml:space="preserve">, </w:t>
      </w:r>
      <w:proofErr w:type="spellStart"/>
      <w:r w:rsidRPr="00DE5A0D">
        <w:rPr>
          <w:rFonts w:ascii="Arial" w:hAnsi="Arial" w:cs="Arial"/>
        </w:rPr>
        <w:t>Liscary</w:t>
      </w:r>
      <w:proofErr w:type="spellEnd"/>
      <w:r w:rsidRPr="00DE5A0D">
        <w:rPr>
          <w:rFonts w:ascii="Arial" w:hAnsi="Arial" w:cs="Arial"/>
        </w:rPr>
        <w:t xml:space="preserve">, &amp; Sáez </w:t>
      </w:r>
      <w:proofErr w:type="spellStart"/>
      <w:r w:rsidRPr="00DE5A0D">
        <w:rPr>
          <w:rFonts w:ascii="Arial" w:hAnsi="Arial" w:cs="Arial"/>
        </w:rPr>
        <w:t>Carriera</w:t>
      </w:r>
      <w:proofErr w:type="spellEnd"/>
      <w:r w:rsidRPr="00DE5A0D">
        <w:rPr>
          <w:rFonts w:ascii="Arial" w:hAnsi="Arial" w:cs="Arial"/>
        </w:rPr>
        <w:t>, Rolando. (2009). Rehabilitaciones protésicas y su calidad como factor de riesgo en la aparición de lesiones en la mucosa bucal. </w:t>
      </w:r>
      <w:r w:rsidRPr="00DE5A0D">
        <w:rPr>
          <w:rFonts w:ascii="Arial" w:hAnsi="Arial" w:cs="Arial"/>
          <w:i/>
          <w:iCs/>
        </w:rPr>
        <w:t>Revista Cubana de Estomatología</w:t>
      </w:r>
      <w:r w:rsidRPr="00DE5A0D">
        <w:rPr>
          <w:rFonts w:ascii="Arial" w:hAnsi="Arial" w:cs="Arial"/>
        </w:rPr>
        <w:t>, </w:t>
      </w:r>
      <w:r w:rsidRPr="00DE5A0D">
        <w:rPr>
          <w:rFonts w:ascii="Arial" w:hAnsi="Arial" w:cs="Arial"/>
          <w:i/>
          <w:iCs/>
        </w:rPr>
        <w:t>46</w:t>
      </w:r>
      <w:r w:rsidRPr="00DE5A0D">
        <w:rPr>
          <w:rFonts w:ascii="Arial" w:hAnsi="Arial" w:cs="Arial"/>
        </w:rPr>
        <w:t xml:space="preserve">(1) Recuperado en 29 de marzo de 2019, de </w:t>
      </w:r>
      <w:hyperlink r:id="rId12" w:history="1">
        <w:r w:rsidRPr="00DE5A0D">
          <w:rPr>
            <w:rStyle w:val="Hipervnculo"/>
            <w:rFonts w:ascii="Arial" w:hAnsi="Arial" w:cs="Arial"/>
            <w:color w:val="auto"/>
            <w:u w:val="none"/>
          </w:rPr>
          <w:t>http://scielo.sld.cu/scielo.php?script=sci_arttext&amp;pid=S0034-75072009000100003&amp;lng=es&amp;tlng=es</w:t>
        </w:r>
      </w:hyperlink>
      <w:r w:rsidRPr="00DE5A0D">
        <w:rPr>
          <w:rFonts w:ascii="Arial" w:hAnsi="Arial" w:cs="Arial"/>
        </w:rPr>
        <w:t>.</w:t>
      </w:r>
    </w:p>
    <w:p w:rsidR="00DE5A0D" w:rsidRPr="00DE5A0D" w:rsidRDefault="00DE5A0D" w:rsidP="00DE5A0D">
      <w:pPr>
        <w:pStyle w:val="Prrafodelista"/>
        <w:numPr>
          <w:ilvl w:val="0"/>
          <w:numId w:val="8"/>
        </w:numPr>
        <w:autoSpaceDE w:val="0"/>
        <w:autoSpaceDN w:val="0"/>
        <w:adjustRightInd w:val="0"/>
        <w:ind w:left="426" w:hanging="426"/>
        <w:jc w:val="both"/>
        <w:rPr>
          <w:rStyle w:val="Hipervnculo"/>
          <w:rFonts w:ascii="Arial" w:hAnsi="Arial" w:cs="Arial"/>
          <w:color w:val="auto"/>
          <w:u w:val="none"/>
        </w:rPr>
      </w:pPr>
      <w:r w:rsidRPr="00DE5A0D">
        <w:rPr>
          <w:rFonts w:ascii="Arial" w:hAnsi="Arial" w:cs="Arial"/>
        </w:rPr>
        <w:t xml:space="preserve">Martínez Brito, Ovidio, Camarero </w:t>
      </w:r>
      <w:proofErr w:type="spellStart"/>
      <w:r w:rsidRPr="00DE5A0D">
        <w:rPr>
          <w:rFonts w:ascii="Arial" w:hAnsi="Arial" w:cs="Arial"/>
        </w:rPr>
        <w:t>Forteza</w:t>
      </w:r>
      <w:proofErr w:type="spellEnd"/>
      <w:r w:rsidRPr="00DE5A0D">
        <w:rPr>
          <w:rFonts w:ascii="Arial" w:hAnsi="Arial" w:cs="Arial"/>
        </w:rPr>
        <w:t xml:space="preserve">, Odalys, González Rodríguez Claudia </w:t>
      </w:r>
      <w:proofErr w:type="spellStart"/>
      <w:r w:rsidRPr="00DE5A0D">
        <w:rPr>
          <w:rFonts w:ascii="Arial" w:hAnsi="Arial" w:cs="Arial"/>
        </w:rPr>
        <w:t>Ilen</w:t>
      </w:r>
      <w:proofErr w:type="spellEnd"/>
      <w:r w:rsidRPr="00DE5A0D">
        <w:rPr>
          <w:rFonts w:ascii="Arial" w:hAnsi="Arial" w:cs="Arial"/>
        </w:rPr>
        <w:t xml:space="preserve">, Martínez Brito, </w:t>
      </w:r>
      <w:proofErr w:type="spellStart"/>
      <w:r w:rsidRPr="00DE5A0D">
        <w:rPr>
          <w:rFonts w:ascii="Arial" w:hAnsi="Arial" w:cs="Arial"/>
        </w:rPr>
        <w:t>Lillevid</w:t>
      </w:r>
      <w:proofErr w:type="spellEnd"/>
      <w:r w:rsidRPr="00DE5A0D">
        <w:rPr>
          <w:rFonts w:ascii="Arial" w:hAnsi="Arial" w:cs="Arial"/>
        </w:rPr>
        <w:t xml:space="preserve">. (2016). Calidad de vida del adulto mayor en un consultorio médico del municipio Jaruco. Revista de Ciencias Médicas de la Habana, 22 (1) Recuperado en 2 de marzo de 2018, de </w:t>
      </w:r>
      <w:hyperlink r:id="rId13" w:history="1">
        <w:r w:rsidRPr="00DE5A0D">
          <w:rPr>
            <w:rStyle w:val="Hipervnculo"/>
            <w:rFonts w:ascii="Arial" w:hAnsi="Arial" w:cs="Arial"/>
            <w:color w:val="auto"/>
            <w:u w:val="none"/>
          </w:rPr>
          <w:t>http://www.medigraphic.com/pdfs/revciemedhab/cmh-2016/cmh161d.pdf</w:t>
        </w:r>
      </w:hyperlink>
    </w:p>
    <w:p w:rsidR="00DE5A0D" w:rsidRPr="00DE5A0D" w:rsidRDefault="00DE5A0D" w:rsidP="00DE5A0D">
      <w:pPr>
        <w:pStyle w:val="Prrafodelista"/>
        <w:numPr>
          <w:ilvl w:val="0"/>
          <w:numId w:val="8"/>
        </w:numPr>
        <w:autoSpaceDE w:val="0"/>
        <w:autoSpaceDN w:val="0"/>
        <w:adjustRightInd w:val="0"/>
        <w:ind w:left="426" w:hanging="426"/>
        <w:jc w:val="both"/>
        <w:rPr>
          <w:rFonts w:ascii="Arial" w:hAnsi="Arial" w:cs="Arial"/>
        </w:rPr>
      </w:pPr>
      <w:proofErr w:type="spellStart"/>
      <w:r w:rsidRPr="00DE5A0D">
        <w:rPr>
          <w:rFonts w:ascii="Arial" w:hAnsi="Arial" w:cs="Arial"/>
        </w:rPr>
        <w:t>Barberán</w:t>
      </w:r>
      <w:proofErr w:type="spellEnd"/>
      <w:r w:rsidRPr="00DE5A0D">
        <w:rPr>
          <w:rFonts w:ascii="Arial" w:hAnsi="Arial" w:cs="Arial"/>
        </w:rPr>
        <w:t xml:space="preserve"> Díaz, </w:t>
      </w:r>
      <w:proofErr w:type="spellStart"/>
      <w:r w:rsidRPr="00DE5A0D">
        <w:rPr>
          <w:rFonts w:ascii="Arial" w:hAnsi="Arial" w:cs="Arial"/>
        </w:rPr>
        <w:t>Yoannis</w:t>
      </w:r>
      <w:proofErr w:type="spellEnd"/>
      <w:r w:rsidRPr="00DE5A0D">
        <w:rPr>
          <w:rFonts w:ascii="Arial" w:hAnsi="Arial" w:cs="Arial"/>
        </w:rPr>
        <w:t xml:space="preserve">, Torres Silva, María del Carmen, </w:t>
      </w:r>
      <w:proofErr w:type="spellStart"/>
      <w:r w:rsidRPr="00DE5A0D">
        <w:rPr>
          <w:rFonts w:ascii="Arial" w:hAnsi="Arial" w:cs="Arial"/>
        </w:rPr>
        <w:t>Orduñez</w:t>
      </w:r>
      <w:proofErr w:type="spellEnd"/>
      <w:r w:rsidRPr="00DE5A0D">
        <w:rPr>
          <w:rFonts w:ascii="Arial" w:hAnsi="Arial" w:cs="Arial"/>
        </w:rPr>
        <w:t xml:space="preserve"> Pérez, </w:t>
      </w:r>
      <w:proofErr w:type="spellStart"/>
      <w:r w:rsidRPr="00DE5A0D">
        <w:rPr>
          <w:rFonts w:ascii="Arial" w:hAnsi="Arial" w:cs="Arial"/>
        </w:rPr>
        <w:t>Yamisleidis</w:t>
      </w:r>
      <w:proofErr w:type="spellEnd"/>
      <w:r w:rsidRPr="00DE5A0D">
        <w:rPr>
          <w:rFonts w:ascii="Arial" w:hAnsi="Arial" w:cs="Arial"/>
        </w:rPr>
        <w:t xml:space="preserve">, </w:t>
      </w:r>
      <w:proofErr w:type="spellStart"/>
      <w:r w:rsidRPr="00DE5A0D">
        <w:rPr>
          <w:rFonts w:ascii="Arial" w:hAnsi="Arial" w:cs="Arial"/>
        </w:rPr>
        <w:t>Bruzón</w:t>
      </w:r>
      <w:proofErr w:type="spellEnd"/>
      <w:r w:rsidRPr="00DE5A0D">
        <w:rPr>
          <w:rFonts w:ascii="Arial" w:hAnsi="Arial" w:cs="Arial"/>
        </w:rPr>
        <w:t xml:space="preserve"> Díaz, Ana </w:t>
      </w:r>
      <w:proofErr w:type="spellStart"/>
      <w:r w:rsidRPr="00DE5A0D">
        <w:rPr>
          <w:rFonts w:ascii="Arial" w:hAnsi="Arial" w:cs="Arial"/>
        </w:rPr>
        <w:t>Maité</w:t>
      </w:r>
      <w:proofErr w:type="spellEnd"/>
      <w:r w:rsidRPr="00DE5A0D">
        <w:rPr>
          <w:rFonts w:ascii="Arial" w:hAnsi="Arial" w:cs="Arial"/>
        </w:rPr>
        <w:t xml:space="preserve">, Duarte Pereira, </w:t>
      </w:r>
      <w:proofErr w:type="spellStart"/>
      <w:r w:rsidRPr="00DE5A0D">
        <w:rPr>
          <w:rFonts w:ascii="Arial" w:hAnsi="Arial" w:cs="Arial"/>
        </w:rPr>
        <w:t>Roidis</w:t>
      </w:r>
      <w:proofErr w:type="spellEnd"/>
      <w:r w:rsidRPr="00DE5A0D">
        <w:rPr>
          <w:rFonts w:ascii="Arial" w:hAnsi="Arial" w:cs="Arial"/>
        </w:rPr>
        <w:t>. Comportamiento de enfermedades bucales en el adulto mayor. [CD-ROM]. Holguín Ciencias Médicas: Memorias del evento. III Taller territorial de familia y envejecimiento; 2016.</w:t>
      </w:r>
    </w:p>
    <w:p w:rsidR="00DE5A0D" w:rsidRPr="00DE5A0D" w:rsidRDefault="00DE5A0D" w:rsidP="00DE5A0D">
      <w:pPr>
        <w:pStyle w:val="Prrafodelista"/>
        <w:numPr>
          <w:ilvl w:val="0"/>
          <w:numId w:val="8"/>
        </w:numPr>
        <w:suppressAutoHyphens w:val="0"/>
        <w:autoSpaceDE w:val="0"/>
        <w:autoSpaceDN w:val="0"/>
        <w:adjustRightInd w:val="0"/>
        <w:ind w:left="426" w:hanging="426"/>
        <w:jc w:val="both"/>
        <w:rPr>
          <w:rFonts w:ascii="Arial" w:hAnsi="Arial" w:cs="Arial"/>
        </w:rPr>
      </w:pPr>
      <w:proofErr w:type="spellStart"/>
      <w:r w:rsidRPr="00DE5A0D">
        <w:rPr>
          <w:rFonts w:ascii="Arial" w:hAnsi="Arial" w:cs="Arial"/>
        </w:rPr>
        <w:t>Mulet</w:t>
      </w:r>
      <w:proofErr w:type="spellEnd"/>
      <w:r w:rsidRPr="00DE5A0D">
        <w:rPr>
          <w:rFonts w:ascii="Arial" w:hAnsi="Arial" w:cs="Arial"/>
        </w:rPr>
        <w:t xml:space="preserve"> García, Mariela, Hidalgo </w:t>
      </w:r>
      <w:proofErr w:type="spellStart"/>
      <w:r w:rsidRPr="00DE5A0D">
        <w:rPr>
          <w:rFonts w:ascii="Arial" w:hAnsi="Arial" w:cs="Arial"/>
        </w:rPr>
        <w:t>Hidalgo</w:t>
      </w:r>
      <w:proofErr w:type="spellEnd"/>
      <w:r w:rsidRPr="00DE5A0D">
        <w:rPr>
          <w:rFonts w:ascii="Arial" w:hAnsi="Arial" w:cs="Arial"/>
        </w:rPr>
        <w:t xml:space="preserve">, </w:t>
      </w:r>
      <w:proofErr w:type="spellStart"/>
      <w:r w:rsidRPr="00DE5A0D">
        <w:rPr>
          <w:rFonts w:ascii="Arial" w:hAnsi="Arial" w:cs="Arial"/>
        </w:rPr>
        <w:t>S</w:t>
      </w:r>
      <w:r w:rsidR="00F35ADB">
        <w:rPr>
          <w:rFonts w:ascii="Arial" w:hAnsi="Arial" w:cs="Arial"/>
        </w:rPr>
        <w:t>iomara</w:t>
      </w:r>
      <w:proofErr w:type="spellEnd"/>
      <w:r w:rsidR="00F35ADB">
        <w:rPr>
          <w:rFonts w:ascii="Arial" w:hAnsi="Arial" w:cs="Arial"/>
        </w:rPr>
        <w:t>, &amp; Díaz Gómez, Silvia M.</w:t>
      </w:r>
      <w:r w:rsidRPr="00DE5A0D">
        <w:rPr>
          <w:rFonts w:ascii="Arial" w:hAnsi="Arial" w:cs="Arial"/>
        </w:rPr>
        <w:t xml:space="preserve"> (2006). Salud bucal en pacientes portadores de prótesis: Etapa diagnóstica. </w:t>
      </w:r>
      <w:r w:rsidRPr="00DE5A0D">
        <w:rPr>
          <w:rFonts w:ascii="Arial" w:hAnsi="Arial" w:cs="Arial"/>
          <w:i/>
          <w:iCs/>
        </w:rPr>
        <w:t>Revista Archivo Médico de Camagüey</w:t>
      </w:r>
      <w:r w:rsidRPr="00DE5A0D">
        <w:rPr>
          <w:rFonts w:ascii="Arial" w:hAnsi="Arial" w:cs="Arial"/>
        </w:rPr>
        <w:t>, </w:t>
      </w:r>
      <w:r w:rsidRPr="00DE5A0D">
        <w:rPr>
          <w:rFonts w:ascii="Arial" w:hAnsi="Arial" w:cs="Arial"/>
          <w:i/>
          <w:iCs/>
        </w:rPr>
        <w:t>10</w:t>
      </w:r>
      <w:r w:rsidRPr="00DE5A0D">
        <w:rPr>
          <w:rFonts w:ascii="Arial" w:hAnsi="Arial" w:cs="Arial"/>
        </w:rPr>
        <w:t>(5), 34-43. Recuperado en 29 de marzo de 2019, de http://scielo.sld.cu/scielo.php?script=sci_arttext&amp;pid=S1025-02552006000500005&amp;lng=es&amp;tlng=es.</w:t>
      </w:r>
    </w:p>
    <w:p w:rsidR="00DE5A0D" w:rsidRPr="00DE5A0D" w:rsidRDefault="00DE5A0D" w:rsidP="00DE5A0D">
      <w:pPr>
        <w:pStyle w:val="Prrafodelista"/>
        <w:numPr>
          <w:ilvl w:val="0"/>
          <w:numId w:val="8"/>
        </w:numPr>
        <w:suppressAutoHyphens w:val="0"/>
        <w:autoSpaceDE w:val="0"/>
        <w:autoSpaceDN w:val="0"/>
        <w:adjustRightInd w:val="0"/>
        <w:ind w:left="426" w:hanging="426"/>
        <w:jc w:val="both"/>
        <w:rPr>
          <w:rFonts w:ascii="Arial" w:hAnsi="Arial" w:cs="Arial"/>
        </w:rPr>
      </w:pPr>
      <w:r w:rsidRPr="00DE5A0D">
        <w:rPr>
          <w:rFonts w:ascii="Arial" w:hAnsi="Arial" w:cs="Arial"/>
        </w:rPr>
        <w:t xml:space="preserve">González Ramos, Rosa María, Ventura Hernández, María Isabel, </w:t>
      </w:r>
      <w:proofErr w:type="spellStart"/>
      <w:r w:rsidRPr="00DE5A0D">
        <w:rPr>
          <w:rFonts w:ascii="Arial" w:hAnsi="Arial" w:cs="Arial"/>
        </w:rPr>
        <w:t>ValdiviéProvance</w:t>
      </w:r>
      <w:proofErr w:type="spellEnd"/>
      <w:r w:rsidRPr="00DE5A0D">
        <w:rPr>
          <w:rFonts w:ascii="Arial" w:hAnsi="Arial" w:cs="Arial"/>
        </w:rPr>
        <w:t>, Jorge Raúl, &amp; Serrano Álvarez, Cecil Regla. (2014). "Sonríe con salud". </w:t>
      </w:r>
      <w:r w:rsidRPr="00DE5A0D">
        <w:rPr>
          <w:rFonts w:ascii="Arial" w:hAnsi="Arial" w:cs="Arial"/>
          <w:i/>
          <w:iCs/>
        </w:rPr>
        <w:t>Revista Cubana de Estomatología</w:t>
      </w:r>
      <w:r w:rsidRPr="00DE5A0D">
        <w:rPr>
          <w:rFonts w:ascii="Arial" w:hAnsi="Arial" w:cs="Arial"/>
        </w:rPr>
        <w:t>, </w:t>
      </w:r>
      <w:r w:rsidRPr="00DE5A0D">
        <w:rPr>
          <w:rFonts w:ascii="Arial" w:hAnsi="Arial" w:cs="Arial"/>
          <w:i/>
          <w:iCs/>
        </w:rPr>
        <w:t>51</w:t>
      </w:r>
      <w:r w:rsidRPr="00DE5A0D">
        <w:rPr>
          <w:rFonts w:ascii="Arial" w:hAnsi="Arial" w:cs="Arial"/>
        </w:rPr>
        <w:t>(3), 250-258. Recuperado en 29 de marzo de 2019, de http://scielo.sld.cu/scielo.php?script=sci_arttext&amp;pid=S0034-75072014000300002&amp;lng=es&amp;tlng=es.</w:t>
      </w:r>
    </w:p>
    <w:p w:rsidR="00DE5A0D" w:rsidRPr="00DE5A0D" w:rsidRDefault="00DE5A0D" w:rsidP="00DE5A0D">
      <w:pPr>
        <w:pStyle w:val="Prrafodelista"/>
        <w:numPr>
          <w:ilvl w:val="0"/>
          <w:numId w:val="8"/>
        </w:numPr>
        <w:suppressAutoHyphens w:val="0"/>
        <w:autoSpaceDE w:val="0"/>
        <w:autoSpaceDN w:val="0"/>
        <w:adjustRightInd w:val="0"/>
        <w:ind w:left="426" w:hanging="426"/>
        <w:jc w:val="both"/>
        <w:rPr>
          <w:rFonts w:ascii="Arial" w:hAnsi="Arial" w:cs="Arial"/>
        </w:rPr>
      </w:pPr>
      <w:r w:rsidRPr="00DE5A0D">
        <w:rPr>
          <w:rFonts w:ascii="Arial" w:hAnsi="Arial" w:cs="Arial"/>
        </w:rPr>
        <w:t xml:space="preserve">Ibarra Martínez, </w:t>
      </w:r>
      <w:proofErr w:type="spellStart"/>
      <w:r w:rsidRPr="00DE5A0D">
        <w:rPr>
          <w:rFonts w:ascii="Arial" w:hAnsi="Arial" w:cs="Arial"/>
        </w:rPr>
        <w:t>Lizliem</w:t>
      </w:r>
      <w:proofErr w:type="spellEnd"/>
      <w:r w:rsidRPr="00DE5A0D">
        <w:rPr>
          <w:rFonts w:ascii="Arial" w:hAnsi="Arial" w:cs="Arial"/>
        </w:rPr>
        <w:t xml:space="preserve">, Hernández Beltrán, </w:t>
      </w:r>
      <w:proofErr w:type="spellStart"/>
      <w:r w:rsidRPr="00DE5A0D">
        <w:rPr>
          <w:rFonts w:ascii="Arial" w:hAnsi="Arial" w:cs="Arial"/>
        </w:rPr>
        <w:t>Glorisdel</w:t>
      </w:r>
      <w:proofErr w:type="spellEnd"/>
      <w:r w:rsidRPr="00DE5A0D">
        <w:rPr>
          <w:rFonts w:ascii="Arial" w:hAnsi="Arial" w:cs="Arial"/>
        </w:rPr>
        <w:t xml:space="preserve">, Pérez </w:t>
      </w:r>
      <w:proofErr w:type="spellStart"/>
      <w:r w:rsidRPr="00DE5A0D">
        <w:rPr>
          <w:rFonts w:ascii="Arial" w:hAnsi="Arial" w:cs="Arial"/>
        </w:rPr>
        <w:t>Casarreal</w:t>
      </w:r>
      <w:proofErr w:type="spellEnd"/>
      <w:r w:rsidRPr="00DE5A0D">
        <w:rPr>
          <w:rFonts w:ascii="Arial" w:hAnsi="Arial" w:cs="Arial"/>
        </w:rPr>
        <w:t xml:space="preserve">, </w:t>
      </w:r>
      <w:proofErr w:type="spellStart"/>
      <w:r w:rsidRPr="00DE5A0D">
        <w:rPr>
          <w:rFonts w:ascii="Arial" w:hAnsi="Arial" w:cs="Arial"/>
        </w:rPr>
        <w:t>Yamilet</w:t>
      </w:r>
      <w:proofErr w:type="spellEnd"/>
      <w:r w:rsidRPr="00DE5A0D">
        <w:rPr>
          <w:rFonts w:ascii="Arial" w:hAnsi="Arial" w:cs="Arial"/>
        </w:rPr>
        <w:t>, &amp;</w:t>
      </w:r>
      <w:proofErr w:type="spellStart"/>
      <w:r w:rsidRPr="00DE5A0D">
        <w:rPr>
          <w:rFonts w:ascii="Arial" w:hAnsi="Arial" w:cs="Arial"/>
        </w:rPr>
        <w:t>Vinent</w:t>
      </w:r>
      <w:proofErr w:type="spellEnd"/>
      <w:r w:rsidRPr="00DE5A0D">
        <w:rPr>
          <w:rFonts w:ascii="Arial" w:hAnsi="Arial" w:cs="Arial"/>
        </w:rPr>
        <w:t xml:space="preserve"> González, </w:t>
      </w:r>
      <w:proofErr w:type="spellStart"/>
      <w:r w:rsidRPr="00DE5A0D">
        <w:rPr>
          <w:rFonts w:ascii="Arial" w:hAnsi="Arial" w:cs="Arial"/>
        </w:rPr>
        <w:t>Rosalina</w:t>
      </w:r>
      <w:proofErr w:type="spellEnd"/>
      <w:r w:rsidRPr="00DE5A0D">
        <w:rPr>
          <w:rFonts w:ascii="Arial" w:hAnsi="Arial" w:cs="Arial"/>
        </w:rPr>
        <w:t xml:space="preserve">. (2008). Salud bucal en </w:t>
      </w:r>
      <w:proofErr w:type="spellStart"/>
      <w:r w:rsidRPr="00DE5A0D">
        <w:rPr>
          <w:rFonts w:ascii="Arial" w:hAnsi="Arial" w:cs="Arial"/>
        </w:rPr>
        <w:t>gerontes</w:t>
      </w:r>
      <w:proofErr w:type="spellEnd"/>
      <w:r w:rsidRPr="00DE5A0D">
        <w:rPr>
          <w:rFonts w:ascii="Arial" w:hAnsi="Arial" w:cs="Arial"/>
        </w:rPr>
        <w:t xml:space="preserve"> del consultorio médico 278: Policlínico Hermanos Cruz, 2007. </w:t>
      </w:r>
      <w:r w:rsidRPr="00DE5A0D">
        <w:rPr>
          <w:rFonts w:ascii="Arial" w:hAnsi="Arial" w:cs="Arial"/>
          <w:i/>
          <w:iCs/>
        </w:rPr>
        <w:t>Revista de Ciencias Médicas de Pinar del Río</w:t>
      </w:r>
      <w:r w:rsidRPr="00DE5A0D">
        <w:rPr>
          <w:rFonts w:ascii="Arial" w:hAnsi="Arial" w:cs="Arial"/>
        </w:rPr>
        <w:t>, </w:t>
      </w:r>
      <w:r w:rsidRPr="00DE5A0D">
        <w:rPr>
          <w:rFonts w:ascii="Arial" w:hAnsi="Arial" w:cs="Arial"/>
          <w:i/>
          <w:iCs/>
        </w:rPr>
        <w:t>12</w:t>
      </w:r>
      <w:r w:rsidRPr="00DE5A0D">
        <w:rPr>
          <w:rFonts w:ascii="Arial" w:hAnsi="Arial" w:cs="Arial"/>
        </w:rPr>
        <w:t>(2), 29-38. Recuperado en 29 de marzo de 2019, de http://scielo.sld.cu/scielo.php?script=sci_arttext&amp;pid=S1561-31942008000200005&amp;lng=es&amp;tlng=es.</w:t>
      </w:r>
    </w:p>
    <w:p w:rsidR="00BD27B3" w:rsidRPr="00DE5A0D" w:rsidRDefault="00BD27B3" w:rsidP="00DE5A0D">
      <w:pPr>
        <w:pStyle w:val="Prrafodelista"/>
        <w:spacing w:before="240"/>
        <w:ind w:left="0"/>
        <w:jc w:val="both"/>
        <w:rPr>
          <w:rFonts w:ascii="Arial" w:hAnsi="Arial" w:cs="Arial"/>
        </w:rPr>
      </w:pPr>
    </w:p>
    <w:sectPr w:rsidR="00BD27B3" w:rsidRPr="00DE5A0D" w:rsidSect="00366C33">
      <w:pgSz w:w="12240" w:h="15840" w:code="1"/>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4314"/>
    <w:multiLevelType w:val="hybridMultilevel"/>
    <w:tmpl w:val="191813C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0698197A"/>
    <w:multiLevelType w:val="hybridMultilevel"/>
    <w:tmpl w:val="98CE97FA"/>
    <w:lvl w:ilvl="0" w:tplc="200A000F">
      <w:start w:val="1"/>
      <w:numFmt w:val="decimal"/>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2">
    <w:nsid w:val="0D8E2E18"/>
    <w:multiLevelType w:val="hybridMultilevel"/>
    <w:tmpl w:val="FA94BE8C"/>
    <w:lvl w:ilvl="0" w:tplc="2B7A5D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09D7CC7"/>
    <w:multiLevelType w:val="hybridMultilevel"/>
    <w:tmpl w:val="7F4035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1F33C8C"/>
    <w:multiLevelType w:val="hybridMultilevel"/>
    <w:tmpl w:val="1A58145C"/>
    <w:lvl w:ilvl="0" w:tplc="98F218EA">
      <w:numFmt w:val="bullet"/>
      <w:lvlText w:val=""/>
      <w:lvlJc w:val="left"/>
      <w:pPr>
        <w:ind w:left="1146" w:hanging="360"/>
      </w:pPr>
      <w:rPr>
        <w:rFonts w:ascii="Arial" w:eastAsia="Times New Roman" w:hAnsi="Arial" w:cs="Aria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nsid w:val="4B067287"/>
    <w:multiLevelType w:val="hybridMultilevel"/>
    <w:tmpl w:val="52F2887C"/>
    <w:lvl w:ilvl="0" w:tplc="98F218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F4C69E5"/>
    <w:multiLevelType w:val="hybridMultilevel"/>
    <w:tmpl w:val="6874B8D8"/>
    <w:lvl w:ilvl="0" w:tplc="2B7A5D24">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nsid w:val="6F0449A2"/>
    <w:multiLevelType w:val="hybridMultilevel"/>
    <w:tmpl w:val="FF08592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36AE"/>
    <w:rsid w:val="00024750"/>
    <w:rsid w:val="00066462"/>
    <w:rsid w:val="0007089A"/>
    <w:rsid w:val="000E5C54"/>
    <w:rsid w:val="000F6619"/>
    <w:rsid w:val="00173259"/>
    <w:rsid w:val="001A797C"/>
    <w:rsid w:val="002214C1"/>
    <w:rsid w:val="002232DA"/>
    <w:rsid w:val="002A0D28"/>
    <w:rsid w:val="002C7154"/>
    <w:rsid w:val="002D5450"/>
    <w:rsid w:val="002F336C"/>
    <w:rsid w:val="00355604"/>
    <w:rsid w:val="00366C33"/>
    <w:rsid w:val="0036728F"/>
    <w:rsid w:val="003B6344"/>
    <w:rsid w:val="003B6709"/>
    <w:rsid w:val="003D4420"/>
    <w:rsid w:val="004656B8"/>
    <w:rsid w:val="00466206"/>
    <w:rsid w:val="004834DC"/>
    <w:rsid w:val="004910FF"/>
    <w:rsid w:val="00530C56"/>
    <w:rsid w:val="00550876"/>
    <w:rsid w:val="00574E92"/>
    <w:rsid w:val="00597EFF"/>
    <w:rsid w:val="006302C7"/>
    <w:rsid w:val="00656747"/>
    <w:rsid w:val="0066100B"/>
    <w:rsid w:val="0066162E"/>
    <w:rsid w:val="006735A6"/>
    <w:rsid w:val="006E3A7E"/>
    <w:rsid w:val="007106A5"/>
    <w:rsid w:val="00711AD1"/>
    <w:rsid w:val="00734339"/>
    <w:rsid w:val="007929F6"/>
    <w:rsid w:val="00794472"/>
    <w:rsid w:val="007B7313"/>
    <w:rsid w:val="007C7AA6"/>
    <w:rsid w:val="007D2591"/>
    <w:rsid w:val="007E712C"/>
    <w:rsid w:val="007F1A02"/>
    <w:rsid w:val="0086069A"/>
    <w:rsid w:val="008636AE"/>
    <w:rsid w:val="0087220F"/>
    <w:rsid w:val="00874D9C"/>
    <w:rsid w:val="008942ED"/>
    <w:rsid w:val="008D644B"/>
    <w:rsid w:val="008E1379"/>
    <w:rsid w:val="009174DB"/>
    <w:rsid w:val="00943B4B"/>
    <w:rsid w:val="009523DA"/>
    <w:rsid w:val="009804E6"/>
    <w:rsid w:val="009A5D72"/>
    <w:rsid w:val="00A669B5"/>
    <w:rsid w:val="00A90135"/>
    <w:rsid w:val="00AF582D"/>
    <w:rsid w:val="00B42697"/>
    <w:rsid w:val="00B51133"/>
    <w:rsid w:val="00B940CD"/>
    <w:rsid w:val="00B94553"/>
    <w:rsid w:val="00BC715C"/>
    <w:rsid w:val="00BD27B3"/>
    <w:rsid w:val="00BD5941"/>
    <w:rsid w:val="00BF4CA6"/>
    <w:rsid w:val="00C60F93"/>
    <w:rsid w:val="00CA44E6"/>
    <w:rsid w:val="00CC245F"/>
    <w:rsid w:val="00CF786F"/>
    <w:rsid w:val="00D65FA0"/>
    <w:rsid w:val="00D91174"/>
    <w:rsid w:val="00DA32C2"/>
    <w:rsid w:val="00DE5A0D"/>
    <w:rsid w:val="00E10AF0"/>
    <w:rsid w:val="00E4374C"/>
    <w:rsid w:val="00E47D4E"/>
    <w:rsid w:val="00E74B6A"/>
    <w:rsid w:val="00E91E83"/>
    <w:rsid w:val="00E97CE7"/>
    <w:rsid w:val="00EA0066"/>
    <w:rsid w:val="00EC6DED"/>
    <w:rsid w:val="00EF44B3"/>
    <w:rsid w:val="00F01DC9"/>
    <w:rsid w:val="00F20715"/>
    <w:rsid w:val="00F35A9D"/>
    <w:rsid w:val="00F35ADB"/>
    <w:rsid w:val="00F518B3"/>
    <w:rsid w:val="00F554D2"/>
    <w:rsid w:val="00F76F21"/>
    <w:rsid w:val="00FA60B2"/>
    <w:rsid w:val="00FC4A5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154"/>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uiPriority w:val="99"/>
    <w:qFormat/>
    <w:rsid w:val="007F1A02"/>
    <w:pPr>
      <w:keepNext/>
      <w:suppressAutoHyphens w:val="0"/>
      <w:spacing w:before="240" w:after="60"/>
      <w:outlineLvl w:val="0"/>
    </w:pPr>
    <w:rPr>
      <w:rFonts w:ascii="Cambria" w:hAnsi="Cambria" w:cs="Cambria"/>
      <w:b/>
      <w:bCs/>
      <w:kern w:val="32"/>
      <w:sz w:val="32"/>
      <w:szCs w:val="32"/>
      <w:lang w:eastAsia="es-ES"/>
    </w:rPr>
  </w:style>
  <w:style w:type="paragraph" w:styleId="Ttulo2">
    <w:name w:val="heading 2"/>
    <w:basedOn w:val="Normal"/>
    <w:next w:val="Normal"/>
    <w:link w:val="Ttulo2Car"/>
    <w:uiPriority w:val="9"/>
    <w:semiHidden/>
    <w:unhideWhenUsed/>
    <w:qFormat/>
    <w:rsid w:val="007106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ial12">
    <w:name w:val="Arial 12"/>
    <w:basedOn w:val="Normal"/>
    <w:link w:val="Arial12Car"/>
    <w:uiPriority w:val="99"/>
    <w:qFormat/>
    <w:rsid w:val="002C7154"/>
    <w:pPr>
      <w:spacing w:line="360" w:lineRule="auto"/>
      <w:jc w:val="both"/>
    </w:pPr>
    <w:rPr>
      <w:rFonts w:ascii="Arial" w:eastAsiaTheme="minorHAnsi" w:hAnsi="Arial" w:cstheme="minorBidi"/>
      <w:lang w:eastAsia="es-ES"/>
    </w:rPr>
  </w:style>
  <w:style w:type="character" w:customStyle="1" w:styleId="Arial12Car">
    <w:name w:val="Arial 12 Car"/>
    <w:basedOn w:val="Fuentedeprrafopredeter"/>
    <w:link w:val="Arial12"/>
    <w:uiPriority w:val="99"/>
    <w:rsid w:val="002C7154"/>
    <w:rPr>
      <w:rFonts w:ascii="Arial" w:hAnsi="Arial"/>
      <w:sz w:val="24"/>
      <w:szCs w:val="24"/>
      <w:lang w:val="es-ES" w:eastAsia="es-ES"/>
    </w:rPr>
  </w:style>
  <w:style w:type="paragraph" w:styleId="Textodeglobo">
    <w:name w:val="Balloon Text"/>
    <w:basedOn w:val="Normal"/>
    <w:link w:val="TextodegloboCar"/>
    <w:uiPriority w:val="99"/>
    <w:semiHidden/>
    <w:unhideWhenUsed/>
    <w:rsid w:val="00711A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1AD1"/>
    <w:rPr>
      <w:rFonts w:ascii="Segoe UI" w:hAnsi="Segoe UI" w:cs="Segoe UI"/>
      <w:sz w:val="18"/>
      <w:szCs w:val="18"/>
    </w:rPr>
  </w:style>
  <w:style w:type="paragraph" w:styleId="NormalWeb">
    <w:name w:val="Normal (Web)"/>
    <w:basedOn w:val="Normal"/>
    <w:rsid w:val="00BD5941"/>
    <w:pPr>
      <w:suppressAutoHyphens w:val="0"/>
      <w:spacing w:before="100" w:beforeAutospacing="1" w:after="100" w:afterAutospacing="1"/>
    </w:pPr>
    <w:rPr>
      <w:sz w:val="23"/>
      <w:szCs w:val="23"/>
      <w:lang w:eastAsia="es-ES"/>
    </w:rPr>
  </w:style>
  <w:style w:type="character" w:customStyle="1" w:styleId="Ttulo1Car">
    <w:name w:val="Título 1 Car"/>
    <w:basedOn w:val="Fuentedeprrafopredeter"/>
    <w:link w:val="Ttulo1"/>
    <w:uiPriority w:val="99"/>
    <w:rsid w:val="007F1A02"/>
    <w:rPr>
      <w:rFonts w:ascii="Cambria" w:eastAsia="Times New Roman" w:hAnsi="Cambria" w:cs="Cambria"/>
      <w:b/>
      <w:bCs/>
      <w:kern w:val="32"/>
      <w:sz w:val="32"/>
      <w:szCs w:val="32"/>
      <w:lang w:val="es-ES" w:eastAsia="es-ES"/>
    </w:rPr>
  </w:style>
  <w:style w:type="paragraph" w:styleId="Textoindependiente">
    <w:name w:val="Body Text"/>
    <w:aliases w:val="Car"/>
    <w:basedOn w:val="Normal"/>
    <w:link w:val="TextoindependienteCar"/>
    <w:uiPriority w:val="99"/>
    <w:rsid w:val="007F1A02"/>
    <w:pPr>
      <w:suppressAutoHyphens w:val="0"/>
      <w:jc w:val="both"/>
    </w:pPr>
    <w:rPr>
      <w:lang w:val="es-ES_tradnl" w:eastAsia="en-US"/>
    </w:rPr>
  </w:style>
  <w:style w:type="character" w:customStyle="1" w:styleId="TextoindependienteCar">
    <w:name w:val="Texto independiente Car"/>
    <w:aliases w:val="Car Car"/>
    <w:basedOn w:val="Fuentedeprrafopredeter"/>
    <w:link w:val="Textoindependiente"/>
    <w:uiPriority w:val="99"/>
    <w:rsid w:val="007F1A02"/>
    <w:rPr>
      <w:rFonts w:ascii="Times New Roman" w:eastAsia="Times New Roman" w:hAnsi="Times New Roman" w:cs="Times New Roman"/>
      <w:sz w:val="24"/>
      <w:szCs w:val="24"/>
      <w:lang w:val="es-ES_tradnl"/>
    </w:rPr>
  </w:style>
  <w:style w:type="table" w:styleId="Tablaconcuadrcula">
    <w:name w:val="Table Grid"/>
    <w:basedOn w:val="Tablanormal"/>
    <w:uiPriority w:val="59"/>
    <w:rsid w:val="00367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7106A5"/>
    <w:rPr>
      <w:rFonts w:asciiTheme="majorHAnsi" w:eastAsiaTheme="majorEastAsia" w:hAnsiTheme="majorHAnsi" w:cstheme="majorBidi"/>
      <w:color w:val="365F91" w:themeColor="accent1" w:themeShade="BF"/>
      <w:sz w:val="26"/>
      <w:szCs w:val="26"/>
      <w:lang w:val="es-ES" w:eastAsia="ar-SA"/>
    </w:rPr>
  </w:style>
  <w:style w:type="paragraph" w:styleId="Prrafodelista">
    <w:name w:val="List Paragraph"/>
    <w:basedOn w:val="Normal"/>
    <w:uiPriority w:val="34"/>
    <w:qFormat/>
    <w:rsid w:val="006735A6"/>
    <w:pPr>
      <w:ind w:left="720"/>
      <w:contextualSpacing/>
    </w:pPr>
  </w:style>
  <w:style w:type="character" w:styleId="Hipervnculo">
    <w:name w:val="Hyperlink"/>
    <w:basedOn w:val="Fuentedeprrafopredeter"/>
    <w:uiPriority w:val="99"/>
    <w:unhideWhenUsed/>
    <w:rsid w:val="002232DA"/>
    <w:rPr>
      <w:color w:val="0000FF" w:themeColor="hyperlink"/>
      <w:u w:val="single"/>
    </w:rPr>
  </w:style>
  <w:style w:type="character" w:customStyle="1" w:styleId="SinespaciadoCar">
    <w:name w:val="Sin espaciado Car"/>
    <w:link w:val="Sinespaciado"/>
    <w:uiPriority w:val="1"/>
    <w:locked/>
    <w:rsid w:val="00CC245F"/>
    <w:rPr>
      <w:rFonts w:ascii="Calibri" w:hAnsi="Calibri" w:cs="Calibri"/>
    </w:rPr>
  </w:style>
  <w:style w:type="paragraph" w:styleId="Sinespaciado">
    <w:name w:val="No Spacing"/>
    <w:link w:val="SinespaciadoCar"/>
    <w:uiPriority w:val="1"/>
    <w:qFormat/>
    <w:rsid w:val="00CC245F"/>
    <w:pPr>
      <w:spacing w:after="0" w:line="240" w:lineRule="auto"/>
    </w:pPr>
    <w:rPr>
      <w:rFonts w:ascii="Calibri" w:hAnsi="Calibri" w:cs="Calibri"/>
    </w:rPr>
  </w:style>
  <w:style w:type="character" w:styleId="nfasis">
    <w:name w:val="Emphasis"/>
    <w:basedOn w:val="Fuentedeprrafopredeter"/>
    <w:uiPriority w:val="20"/>
    <w:qFormat/>
    <w:rsid w:val="00DE5A0D"/>
    <w:rPr>
      <w:i/>
      <w:iCs/>
    </w:rPr>
  </w:style>
</w:styles>
</file>

<file path=word/webSettings.xml><?xml version="1.0" encoding="utf-8"?>
<w:webSettings xmlns:r="http://schemas.openxmlformats.org/officeDocument/2006/relationships" xmlns:w="http://schemas.openxmlformats.org/wordprocessingml/2006/main">
  <w:divs>
    <w:div w:id="184446723">
      <w:bodyDiv w:val="1"/>
      <w:marLeft w:val="0"/>
      <w:marRight w:val="0"/>
      <w:marTop w:val="0"/>
      <w:marBottom w:val="0"/>
      <w:divBdr>
        <w:top w:val="none" w:sz="0" w:space="0" w:color="auto"/>
        <w:left w:val="none" w:sz="0" w:space="0" w:color="auto"/>
        <w:bottom w:val="none" w:sz="0" w:space="0" w:color="auto"/>
        <w:right w:val="none" w:sz="0" w:space="0" w:color="auto"/>
      </w:divBdr>
    </w:div>
    <w:div w:id="424109901">
      <w:bodyDiv w:val="1"/>
      <w:marLeft w:val="0"/>
      <w:marRight w:val="0"/>
      <w:marTop w:val="0"/>
      <w:marBottom w:val="0"/>
      <w:divBdr>
        <w:top w:val="none" w:sz="0" w:space="0" w:color="auto"/>
        <w:left w:val="none" w:sz="0" w:space="0" w:color="auto"/>
        <w:bottom w:val="none" w:sz="0" w:space="0" w:color="auto"/>
        <w:right w:val="none" w:sz="0" w:space="0" w:color="auto"/>
      </w:divBdr>
    </w:div>
    <w:div w:id="676230853">
      <w:bodyDiv w:val="1"/>
      <w:marLeft w:val="0"/>
      <w:marRight w:val="0"/>
      <w:marTop w:val="0"/>
      <w:marBottom w:val="0"/>
      <w:divBdr>
        <w:top w:val="none" w:sz="0" w:space="0" w:color="auto"/>
        <w:left w:val="none" w:sz="0" w:space="0" w:color="auto"/>
        <w:bottom w:val="none" w:sz="0" w:space="0" w:color="auto"/>
        <w:right w:val="none" w:sz="0" w:space="0" w:color="auto"/>
      </w:divBdr>
    </w:div>
    <w:div w:id="190842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cmhabana.sld.cu/index.php/rcmh/article/view/927/1338" TargetMode="External"/><Relationship Id="rId13" Type="http://schemas.openxmlformats.org/officeDocument/2006/relationships/hyperlink" Target="http://www.medigraphic.com/pdfs/revciemedhab/cmh-2016/cmh161d.pdf" TargetMode="External"/><Relationship Id="rId3" Type="http://schemas.openxmlformats.org/officeDocument/2006/relationships/styles" Target="styles.xml"/><Relationship Id="rId7" Type="http://schemas.openxmlformats.org/officeDocument/2006/relationships/hyperlink" Target="https://www.odontologia-online.com/publicaciones/medicina-estomatologica/245-intervencion-educativa-sobre-la-salud-bucal-en-un-circulo-de-la-tercera-edad-la-habana-del-este.html" TargetMode="External"/><Relationship Id="rId12" Type="http://schemas.openxmlformats.org/officeDocument/2006/relationships/hyperlink" Target="http://scielo.sld.cu/scielo.php?script=sci_arttext&amp;pid=S0034-75072009000100003&amp;lng=es&amp;tlng=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ielo.sld.cu/scielo.php?script=sci_arttext&amp;pid=S0034-75072013000300006&amp;lng=es&amp;tlng=es" TargetMode="External"/><Relationship Id="rId11" Type="http://schemas.openxmlformats.org/officeDocument/2006/relationships/hyperlink" Target="http://scielo.sld.cu/scielo.php?script=sci_arttext&amp;pid=S0864-21252012000400007&amp;lng=es&amp;tlng=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ielo.sld.cu/scielo.php?script=sci_arttext&amp;pid=S1029-30432019000100004&amp;lng=es&amp;tlng=es" TargetMode="External"/><Relationship Id="rId4" Type="http://schemas.openxmlformats.org/officeDocument/2006/relationships/settings" Target="settings.xml"/><Relationship Id="rId9" Type="http://schemas.openxmlformats.org/officeDocument/2006/relationships/hyperlink" Target="http://scielo.sld.cu/scielo.php?script=sci_arttext&amp;pid=S1029-30192013000400015&amp;lng=es&amp;tlng=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D52D0-3B41-48D8-8246-189E3261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3309</Words>
  <Characters>18201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dc:creator>
  <cp:lastModifiedBy>PC 3</cp:lastModifiedBy>
  <cp:revision>2</cp:revision>
  <cp:lastPrinted>2016-04-20T15:23:00Z</cp:lastPrinted>
  <dcterms:created xsi:type="dcterms:W3CDTF">2019-04-01T18:47:00Z</dcterms:created>
  <dcterms:modified xsi:type="dcterms:W3CDTF">2019-04-01T18:47:00Z</dcterms:modified>
</cp:coreProperties>
</file>